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рахунок с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убвенці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з державного бюджету місцевим бюджетам на здійснення заходів щодо соціально-економічного розвитку окремих територій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ередбачено - 37,0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1.201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освоєно 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(65,7%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), у тому числі кошти субвенції – 24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>, кошти місцевих органів влади</w:t>
      </w:r>
      <w:r w:rsidR="00BC6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0,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6F3">
        <w:rPr>
          <w:rFonts w:ascii="Times New Roman" w:hAnsi="Times New Roman" w:cs="Times New Roman"/>
          <w:sz w:val="28"/>
          <w:szCs w:val="28"/>
          <w:lang w:val="uk-UA"/>
        </w:rPr>
        <w:t>По 6 об'єктах у повному обсязі погашена кредиторська заборгованість за минулі року у сумі 1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133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, яка рахувалась за ТМО м. Лисичанська, відділом освіти Лисичанської міської ради,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Попаснянською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міською радою.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6F3">
        <w:rPr>
          <w:rFonts w:ascii="Times New Roman" w:hAnsi="Times New Roman" w:cs="Times New Roman"/>
          <w:sz w:val="28"/>
          <w:szCs w:val="28"/>
          <w:lang w:val="uk-UA"/>
        </w:rPr>
        <w:t>По 84 об'єктам освоєння коштів субвенції складає 100 відсотків.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6F3">
        <w:rPr>
          <w:rFonts w:ascii="Times New Roman" w:hAnsi="Times New Roman" w:cs="Times New Roman"/>
          <w:sz w:val="28"/>
          <w:szCs w:val="28"/>
          <w:lang w:val="uk-UA"/>
        </w:rPr>
        <w:t>По 21 об’єкту освоєння складає від 96 до 99,9 відсотків.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Міловський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район – 100% (1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>). Із 20 об’єктів 3 об’єкта освоєно на 99%.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Новопсковський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район – 99,96%. Передбачено 1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о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своєно –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. Із 39 об’єктів 2 об’єкта освоєно на 99,8-99,9 %.  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6F3">
        <w:rPr>
          <w:rFonts w:ascii="Times New Roman" w:hAnsi="Times New Roman" w:cs="Times New Roman"/>
          <w:sz w:val="28"/>
          <w:szCs w:val="28"/>
          <w:lang w:val="uk-UA"/>
        </w:rPr>
        <w:t>Біловодський район – 99,86 %. Передбачено 2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о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своєно –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,2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грн. Із 27 об’єктів  5 освоєно на 91,6-99,9 %.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Привільська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міська  рада - 93,1%.(</w:t>
      </w:r>
      <w:r>
        <w:rPr>
          <w:rFonts w:ascii="Times New Roman" w:hAnsi="Times New Roman" w:cs="Times New Roman"/>
          <w:sz w:val="28"/>
          <w:szCs w:val="28"/>
          <w:lang w:val="uk-UA"/>
        </w:rPr>
        <w:t>0,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404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)  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Марківський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район  - 90,6 %. Передбачено </w:t>
      </w:r>
      <w:r>
        <w:rPr>
          <w:rFonts w:ascii="Times New Roman" w:hAnsi="Times New Roman" w:cs="Times New Roman"/>
          <w:sz w:val="28"/>
          <w:szCs w:val="28"/>
          <w:lang w:val="uk-UA"/>
        </w:rPr>
        <w:t>0,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своєно –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0,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грн. Із 6 об’єктів один об’єкт «Придбання 2-х газових котлів АОГВ-20ЗЩСС та комплектуючих для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Сичанської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ЛАЗПСМ» реаліз</w:t>
      </w:r>
      <w:r>
        <w:rPr>
          <w:rFonts w:ascii="Times New Roman" w:hAnsi="Times New Roman" w:cs="Times New Roman"/>
          <w:sz w:val="28"/>
          <w:szCs w:val="28"/>
          <w:lang w:val="uk-UA"/>
        </w:rPr>
        <w:t>овано на 83%. Об’єкт «Придбання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, доставка, м</w:t>
      </w:r>
      <w:r>
        <w:rPr>
          <w:rFonts w:ascii="Times New Roman" w:hAnsi="Times New Roman" w:cs="Times New Roman"/>
          <w:sz w:val="28"/>
          <w:szCs w:val="28"/>
          <w:lang w:val="uk-UA"/>
        </w:rPr>
        <w:t>онтаж та обробка укосів в середи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ні і зовні,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металопластикових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енергозберігаючих вікон для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Марківської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гімназії» реалізовано на 73,3%.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Старобільський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район – 89,33%. Передбачено 7</w:t>
      </w:r>
      <w:r>
        <w:rPr>
          <w:rFonts w:ascii="Times New Roman" w:hAnsi="Times New Roman" w:cs="Times New Roman"/>
          <w:sz w:val="28"/>
          <w:szCs w:val="28"/>
          <w:lang w:val="uk-UA"/>
        </w:rPr>
        <w:t>,9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своєно 7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грн. На зниження відсотків освоєння коштів вплинуло не реалізація проекту «Нове Будівництво. Впровадження вуличного освітлення за інноваційними технологіями, с.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Байдівка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Старобільського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району». На реалізацію даного об’єкта було передбачено </w:t>
      </w:r>
      <w:r>
        <w:rPr>
          <w:rFonts w:ascii="Times New Roman" w:hAnsi="Times New Roman" w:cs="Times New Roman"/>
          <w:sz w:val="28"/>
          <w:szCs w:val="28"/>
          <w:lang w:val="uk-UA"/>
        </w:rPr>
        <w:t>0,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коштів субвенції та 4,2 тис.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>. Освоєння – 0 %.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Новоайдарський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район – 88,7%. Передбачено 2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своєно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грн. Із 5 об’єктів найменший відсоток освоєння складає 59,9 % по об’єкту «Проведення комплексних робіт з благоустрою паркової зони,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Новойдар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Новоайдарського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району». Передбачено сума коштів субвенції – </w:t>
      </w:r>
      <w:r>
        <w:rPr>
          <w:rFonts w:ascii="Times New Roman" w:hAnsi="Times New Roman" w:cs="Times New Roman"/>
          <w:sz w:val="28"/>
          <w:szCs w:val="28"/>
          <w:lang w:val="uk-UA"/>
        </w:rPr>
        <w:t>0,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, освоєно – </w:t>
      </w:r>
      <w:r>
        <w:rPr>
          <w:rFonts w:ascii="Times New Roman" w:hAnsi="Times New Roman" w:cs="Times New Roman"/>
          <w:sz w:val="28"/>
          <w:szCs w:val="28"/>
          <w:lang w:val="uk-UA"/>
        </w:rPr>
        <w:t>0,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Білокуракинськ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 – 87,35%. Передбачено 3,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своєно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грн. Із 6 об’єктів найменший відсоток виконання по об’єкту «Капітальний ремонт фельдшерсько-акушерського пункту, с. Мирне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ілокуркинського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району» - 56,2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%. На даний об’єкт передбачено </w:t>
      </w:r>
      <w:r>
        <w:rPr>
          <w:rFonts w:ascii="Times New Roman" w:hAnsi="Times New Roman" w:cs="Times New Roman"/>
          <w:sz w:val="28"/>
          <w:szCs w:val="28"/>
          <w:lang w:val="uk-UA"/>
        </w:rPr>
        <w:t>0,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, освоєно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0,3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Кремінськ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 – 85,4 %. Передбачено 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,2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своєно 1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грн. Із 5 об’єктів найменший відсоток виконання по об’єкту «Проведення робіт з ремонту водогону, с.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Бараниківка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Кремінського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району». – 30%.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ередбачено </w:t>
      </w:r>
      <w:r>
        <w:rPr>
          <w:rFonts w:ascii="Times New Roman" w:hAnsi="Times New Roman" w:cs="Times New Roman"/>
          <w:sz w:val="28"/>
          <w:szCs w:val="28"/>
          <w:lang w:val="uk-UA"/>
        </w:rPr>
        <w:t>0,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, освоєно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0,120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Сватівський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район – 85,1%. Передбачено 2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своєно 2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грн. Із 6 об’єктів найменший відсоток виконання по об’єкту «Капітальний 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ремонт  комунального дитячого навчального закладу "Ластівка" з утепленням стін та облаштуванням водовідводу, c.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Мілуватка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Сва</w:t>
      </w:r>
      <w:r w:rsidR="00BC68F4">
        <w:rPr>
          <w:rFonts w:ascii="Times New Roman" w:hAnsi="Times New Roman" w:cs="Times New Roman"/>
          <w:sz w:val="28"/>
          <w:szCs w:val="28"/>
          <w:lang w:val="uk-UA"/>
        </w:rPr>
        <w:t>тівського</w:t>
      </w:r>
      <w:proofErr w:type="spellEnd"/>
      <w:r w:rsidR="00BC68F4">
        <w:rPr>
          <w:rFonts w:ascii="Times New Roman" w:hAnsi="Times New Roman" w:cs="Times New Roman"/>
          <w:sz w:val="28"/>
          <w:szCs w:val="28"/>
          <w:lang w:val="uk-UA"/>
        </w:rPr>
        <w:t xml:space="preserve"> району» - 36,43 %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(0,10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Троїцький район – 73,53 </w:t>
      </w:r>
      <w:r>
        <w:rPr>
          <w:rFonts w:ascii="Times New Roman" w:hAnsi="Times New Roman" w:cs="Times New Roman"/>
          <w:sz w:val="28"/>
          <w:szCs w:val="28"/>
          <w:lang w:val="uk-UA"/>
        </w:rPr>
        <w:t>%. Передбачено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>, освоєно 1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грн. Із 4  об’єктів, не освоєно один на суму </w:t>
      </w:r>
      <w:r>
        <w:rPr>
          <w:rFonts w:ascii="Times New Roman" w:hAnsi="Times New Roman" w:cs="Times New Roman"/>
          <w:sz w:val="28"/>
          <w:szCs w:val="28"/>
          <w:lang w:val="uk-UA"/>
        </w:rPr>
        <w:t>0,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«Придбання навчального обладнання для загальноосвітніх шкіл Троїцького району Луганської області». 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6F3">
        <w:rPr>
          <w:rFonts w:ascii="Times New Roman" w:hAnsi="Times New Roman" w:cs="Times New Roman"/>
          <w:sz w:val="28"/>
          <w:szCs w:val="28"/>
          <w:lang w:val="uk-UA"/>
        </w:rPr>
        <w:t>Найменший відсоток освоєння коштів (6,79%) встановлено по Департаменту регіонального розвитку, промисловості та інфраструктури. Із заявлених 89 проектів на суму 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на розробку проектно-кошторисної документації була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заключено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86 договорів на суму 10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грн. Освоєно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0,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 по 6 договорам.  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Розподіл проектів за сферами: 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6F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Загальноосвітні навчальні заклади – 92 проекти. Передбачено –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>, освоєно 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(52,2%).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6F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ab/>
        <w:t>Культура і спорт – 50 проектів. Передбачено – 2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>, освоєно – 2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(85,9%).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6F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Дошкільні навчальні заклади – 27 проектів. Передбачено –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>, освоєно – 1</w:t>
      </w:r>
      <w:r>
        <w:rPr>
          <w:rFonts w:ascii="Times New Roman" w:hAnsi="Times New Roman" w:cs="Times New Roman"/>
          <w:sz w:val="28"/>
          <w:szCs w:val="28"/>
          <w:lang w:val="uk-UA"/>
        </w:rPr>
        <w:t>,3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(45%).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6F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ab/>
        <w:t>Охорона здоров’я – 27 проектів. Передбачено – 1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>, освоєно – 1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(84%).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6F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Житлово-комунальне господарство – 19 проектів. Передбачено –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>, освоєно – 8</w:t>
      </w:r>
      <w:r>
        <w:rPr>
          <w:rFonts w:ascii="Times New Roman" w:hAnsi="Times New Roman" w:cs="Times New Roman"/>
          <w:sz w:val="28"/>
          <w:szCs w:val="28"/>
          <w:lang w:val="uk-UA"/>
        </w:rPr>
        <w:t>,1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(88,5%).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6F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Надання соціальних послуг – 9 проектів. Передбачено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0,2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, освоєно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100%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6F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ab/>
        <w:t>Інша субвенція ( придбання матеріалів дострокового при</w:t>
      </w:r>
      <w:r>
        <w:rPr>
          <w:rFonts w:ascii="Times New Roman" w:hAnsi="Times New Roman" w:cs="Times New Roman"/>
          <w:sz w:val="28"/>
          <w:szCs w:val="28"/>
          <w:lang w:val="uk-UA"/>
        </w:rPr>
        <w:t>значення) – 1 проект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. Передбачено – </w:t>
      </w:r>
      <w:r>
        <w:rPr>
          <w:rFonts w:ascii="Times New Roman" w:hAnsi="Times New Roman" w:cs="Times New Roman"/>
          <w:sz w:val="28"/>
          <w:szCs w:val="28"/>
          <w:lang w:val="uk-UA"/>
        </w:rPr>
        <w:t>0,0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48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освоєно на 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100%.  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6F3">
        <w:rPr>
          <w:rFonts w:ascii="Times New Roman" w:hAnsi="Times New Roman" w:cs="Times New Roman"/>
          <w:sz w:val="28"/>
          <w:szCs w:val="28"/>
          <w:lang w:val="uk-UA"/>
        </w:rPr>
        <w:t>Найменший відсоток виконання спостерігається по загальноосвітнім та дошкільним навчальним закладам. На низький відсоток освоєння коштів вплинуло низьке освоєння коштів по Департаменту регіонального розвитку, промисловості та інфраструктури. Більшість проектів (63 проекти) – проекти по розробці проектно-кошторисної документації для реконструкції (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термомодернізації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>) загальноосвітніх та дошкільних навчальних закладів. Відсоток освоєння коштів субвенції по Департаменту – 6,79 %.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0BE2" w:rsidRPr="00417F4F" w:rsidRDefault="00D80BE2" w:rsidP="00D8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7F4F">
        <w:rPr>
          <w:rFonts w:ascii="Times New Roman" w:hAnsi="Times New Roman" w:cs="Times New Roman"/>
          <w:b/>
          <w:sz w:val="28"/>
          <w:szCs w:val="28"/>
          <w:lang w:val="uk-UA"/>
        </w:rPr>
        <w:t>Субвенція з державного бюджету місцевим бюджетам на формування інфраструктури об’єднаних територіальних громад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Білокуракинській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Новопсковській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селищним радам передбачено виділення коштів в обсязі 19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своєння </w:t>
      </w:r>
      <w:r>
        <w:rPr>
          <w:rFonts w:ascii="Times New Roman" w:hAnsi="Times New Roman" w:cs="Times New Roman"/>
          <w:sz w:val="28"/>
          <w:szCs w:val="28"/>
          <w:lang w:val="uk-UA"/>
        </w:rPr>
        <w:t>становить 90,9%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на суму 17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>, у тому числі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Білокуракинська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об’єднана територіальна громада – 93,9%. Передбачено коштів – 14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грн. Освоєно – 13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Із 28 проектів 10 реалізовано у повному обсязі.  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6F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 14 об’єктам у сфері дорожньо-транспортної інфраструктури неосвоєні кошти перерозподілено на придбання спецтехніки. 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Із 9 проектів на придбання спецтехніки реалізовано 8 проектів на 100%. Низький відсоток освоєння встановлено по проекту «Придбання трактора з причепом для виконання робіт з благоустрою та інших робіт на території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ілокуракинської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ОТГ» - 58,3%. 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Передбачено коштів по даному проекту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0,476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, освоєно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277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6F3">
        <w:rPr>
          <w:rFonts w:ascii="Times New Roman" w:hAnsi="Times New Roman" w:cs="Times New Roman"/>
          <w:sz w:val="28"/>
          <w:szCs w:val="28"/>
          <w:lang w:val="uk-UA"/>
        </w:rPr>
        <w:t>Крім того на зниження відсотків освоєння коштів в цілому по громаді вплинув низький відсоток освоєння коштів по проекту «Реконструкція адміністративної будівлі з допоміжними будівлями та спорудами під комунальне підприємство «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Білокуракине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Комунсервіс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» в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Білокуракине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Білокуракинського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району, Луганської області» - 54,8%. Передбачено коштів – 1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483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, освоєно – </w:t>
      </w:r>
      <w:r>
        <w:rPr>
          <w:rFonts w:ascii="Times New Roman" w:hAnsi="Times New Roman" w:cs="Times New Roman"/>
          <w:sz w:val="28"/>
          <w:szCs w:val="28"/>
          <w:lang w:val="uk-UA"/>
        </w:rPr>
        <w:t>0,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813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Новопсковська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об’єднана територіальна громада – 81,2%. Передбачено коштів – 4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. Освоєно 3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Із 6 проектів 100% освоєння по 1 проекту у сфері придбання спецтехніки. </w:t>
      </w:r>
    </w:p>
    <w:p w:rsidR="00D80BE2" w:rsidRPr="001E66F3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Найменший відсоток освоєння по проекту «Придбання трактора МТЗ-82.1.26 з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причіпом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тракторним двовісним та додатковим обладнанням(відвал поворотний КНО та щітка комунальна з приводом) для виконання робіт з благоустрою та інших робіт на території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Новопсковської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громади» - 30,1%. По проекту передбачено коштів – </w:t>
      </w:r>
      <w:r>
        <w:rPr>
          <w:rFonts w:ascii="Times New Roman" w:hAnsi="Times New Roman" w:cs="Times New Roman"/>
          <w:sz w:val="28"/>
          <w:szCs w:val="28"/>
          <w:lang w:val="uk-UA"/>
        </w:rPr>
        <w:t>0,68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66F3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, освоєно – </w:t>
      </w:r>
      <w:r>
        <w:rPr>
          <w:rFonts w:ascii="Times New Roman" w:hAnsi="Times New Roman" w:cs="Times New Roman"/>
          <w:sz w:val="28"/>
          <w:szCs w:val="28"/>
          <w:lang w:val="uk-UA"/>
        </w:rPr>
        <w:t>0,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188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1E66F3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D80BE2" w:rsidRDefault="00D80BE2" w:rsidP="00D8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E66F3">
        <w:rPr>
          <w:rFonts w:ascii="Times New Roman" w:hAnsi="Times New Roman" w:cs="Times New Roman"/>
          <w:sz w:val="28"/>
          <w:szCs w:val="28"/>
          <w:lang w:val="uk-UA"/>
        </w:rPr>
        <w:t>роект «Придбання сонячних панелей (системи сонячного нагріву води) з метою е</w:t>
      </w:r>
      <w:r>
        <w:rPr>
          <w:rFonts w:ascii="Times New Roman" w:hAnsi="Times New Roman" w:cs="Times New Roman"/>
          <w:sz w:val="28"/>
          <w:szCs w:val="28"/>
          <w:lang w:val="uk-UA"/>
        </w:rPr>
        <w:t>нергозбереження в ДНЗ «Теремок» не реалізовано.»</w:t>
      </w:r>
    </w:p>
    <w:p w:rsidR="00A000FC" w:rsidRPr="00D80BE2" w:rsidRDefault="00A000FC">
      <w:pPr>
        <w:rPr>
          <w:lang w:val="uk-UA"/>
        </w:rPr>
      </w:pPr>
    </w:p>
    <w:sectPr w:rsidR="00A000FC" w:rsidRPr="00D80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E2"/>
    <w:rsid w:val="00A000FC"/>
    <w:rsid w:val="00BC68F4"/>
    <w:rsid w:val="00D8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2</cp:revision>
  <dcterms:created xsi:type="dcterms:W3CDTF">2017-02-01T14:48:00Z</dcterms:created>
  <dcterms:modified xsi:type="dcterms:W3CDTF">2017-02-02T07:44:00Z</dcterms:modified>
</cp:coreProperties>
</file>