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61" w:rsidRDefault="00315F61" w:rsidP="00315F61">
      <w:pPr>
        <w:spacing w:line="220" w:lineRule="auto"/>
        <w:ind w:left="5670"/>
        <w:rPr>
          <w:szCs w:val="26"/>
          <w:lang w:val="uk-UA"/>
        </w:rPr>
      </w:pPr>
      <w:bookmarkStart w:id="0" w:name="_GoBack"/>
      <w:bookmarkEnd w:id="0"/>
      <w:r>
        <w:rPr>
          <w:szCs w:val="26"/>
          <w:lang w:val="uk-UA"/>
        </w:rPr>
        <w:t>ЗАТВЕРДЖЕНО</w:t>
      </w:r>
    </w:p>
    <w:p w:rsidR="00315F61" w:rsidRDefault="00315F61" w:rsidP="00315F61">
      <w:pPr>
        <w:spacing w:line="220" w:lineRule="auto"/>
        <w:ind w:left="5670"/>
        <w:rPr>
          <w:szCs w:val="26"/>
          <w:lang w:val="uk-UA"/>
        </w:rPr>
      </w:pPr>
      <w:r>
        <w:rPr>
          <w:szCs w:val="26"/>
          <w:lang w:val="uk-UA"/>
        </w:rPr>
        <w:t>наказом Департаменту соціального захисту населення Луганської облдержадміністрації</w:t>
      </w:r>
    </w:p>
    <w:p w:rsidR="00315F61" w:rsidRDefault="00315F61" w:rsidP="00315F61">
      <w:pPr>
        <w:spacing w:line="220" w:lineRule="auto"/>
        <w:ind w:left="5670"/>
        <w:rPr>
          <w:b/>
          <w:szCs w:val="26"/>
          <w:lang w:val="uk-UA"/>
        </w:rPr>
      </w:pPr>
      <w:r>
        <w:rPr>
          <w:bCs/>
          <w:szCs w:val="26"/>
          <w:lang w:val="uk-UA"/>
        </w:rPr>
        <w:t>від «</w:t>
      </w:r>
      <w:r w:rsidR="00613B30">
        <w:rPr>
          <w:bCs/>
          <w:szCs w:val="26"/>
          <w:lang w:val="uk-UA"/>
        </w:rPr>
        <w:t>03</w:t>
      </w:r>
      <w:r>
        <w:rPr>
          <w:bCs/>
          <w:szCs w:val="26"/>
          <w:lang w:val="uk-UA"/>
        </w:rPr>
        <w:t>»</w:t>
      </w:r>
      <w:r w:rsidR="004E0D13">
        <w:rPr>
          <w:bCs/>
          <w:szCs w:val="26"/>
          <w:lang w:val="uk-UA"/>
        </w:rPr>
        <w:t xml:space="preserve"> </w:t>
      </w:r>
      <w:r w:rsidR="00613B30">
        <w:rPr>
          <w:bCs/>
          <w:szCs w:val="26"/>
          <w:lang w:val="uk-UA"/>
        </w:rPr>
        <w:t>січня</w:t>
      </w:r>
      <w:r w:rsidR="004E0D13">
        <w:rPr>
          <w:bCs/>
          <w:szCs w:val="26"/>
          <w:lang w:val="uk-UA"/>
        </w:rPr>
        <w:t xml:space="preserve"> </w:t>
      </w:r>
      <w:r>
        <w:rPr>
          <w:bCs/>
          <w:szCs w:val="26"/>
          <w:lang w:val="uk-UA"/>
        </w:rPr>
        <w:t xml:space="preserve">2018 р. № </w:t>
      </w:r>
      <w:r w:rsidR="00613B30">
        <w:rPr>
          <w:bCs/>
          <w:szCs w:val="26"/>
          <w:lang w:val="uk-UA"/>
        </w:rPr>
        <w:t>2к</w:t>
      </w:r>
    </w:p>
    <w:p w:rsidR="00315F61" w:rsidRDefault="00315F61" w:rsidP="00315F61">
      <w:pPr>
        <w:spacing w:line="220" w:lineRule="auto"/>
        <w:jc w:val="center"/>
        <w:rPr>
          <w:bCs/>
          <w:lang w:val="uk-UA" w:eastAsia="uk-UA"/>
        </w:rPr>
      </w:pPr>
    </w:p>
    <w:p w:rsidR="00315F61" w:rsidRDefault="00315F61" w:rsidP="00315F61">
      <w:pPr>
        <w:spacing w:line="220" w:lineRule="auto"/>
        <w:jc w:val="center"/>
        <w:rPr>
          <w:bCs/>
          <w:lang w:val="uk-UA" w:eastAsia="uk-UA"/>
        </w:rPr>
      </w:pPr>
    </w:p>
    <w:p w:rsidR="00315F61" w:rsidRDefault="00315F61" w:rsidP="00315F61">
      <w:pPr>
        <w:spacing w:line="220" w:lineRule="auto"/>
        <w:jc w:val="center"/>
        <w:rPr>
          <w:b/>
          <w:lang w:val="uk-UA" w:eastAsia="uk-UA"/>
        </w:rPr>
      </w:pPr>
      <w:r>
        <w:rPr>
          <w:b/>
          <w:lang w:eastAsia="uk-UA"/>
        </w:rPr>
        <w:t>УМОВИ</w:t>
      </w:r>
    </w:p>
    <w:p w:rsidR="00315F61" w:rsidRDefault="00315F61" w:rsidP="00315F61">
      <w:pPr>
        <w:spacing w:line="220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проведення конкурсу на заміщення вакантної посади категорії «Б» -</w:t>
      </w:r>
    </w:p>
    <w:p w:rsidR="00315F61" w:rsidRDefault="00315F61" w:rsidP="00315F61">
      <w:pPr>
        <w:spacing w:line="220" w:lineRule="auto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начальника відділу економічного аналізу з питань роботи бюджетних установ соціального захисту управління фінансово-економічної роботи</w:t>
      </w:r>
    </w:p>
    <w:p w:rsidR="00315F61" w:rsidRDefault="00315F61" w:rsidP="00315F61">
      <w:pPr>
        <w:spacing w:line="220" w:lineRule="auto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Департаменту соціального захисту населення Луганської облдержадміністрації</w:t>
      </w:r>
    </w:p>
    <w:p w:rsidR="00315F61" w:rsidRDefault="00315F61" w:rsidP="00315F61">
      <w:pPr>
        <w:spacing w:line="220" w:lineRule="auto"/>
        <w:rPr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420"/>
        <w:gridCol w:w="31"/>
        <w:gridCol w:w="6635"/>
      </w:tblGrid>
      <w:tr w:rsidR="00315F61" w:rsidTr="00613B3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jc w:val="center"/>
              <w:rPr>
                <w:b/>
                <w:lang w:val="uk-UA" w:eastAsia="uk-UA"/>
              </w:rPr>
            </w:pPr>
            <w:bookmarkStart w:id="1" w:name="n196"/>
            <w:bookmarkEnd w:id="1"/>
            <w:r>
              <w:rPr>
                <w:b/>
                <w:lang w:val="uk-UA" w:eastAsia="uk-UA"/>
              </w:rPr>
              <w:t>Загальні умови</w:t>
            </w:r>
          </w:p>
        </w:tc>
      </w:tr>
      <w:tr w:rsidR="00315F61" w:rsidTr="00613B30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Посадові обов’язки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pStyle w:val="a4"/>
              <w:tabs>
                <w:tab w:val="left" w:pos="1276"/>
              </w:tabs>
              <w:spacing w:after="0" w:line="220" w:lineRule="auto"/>
              <w:ind w:firstLine="265"/>
              <w:jc w:val="both"/>
              <w:rPr>
                <w:b/>
                <w:spacing w:val="-1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spacing w:val="-10"/>
                <w:szCs w:val="28"/>
                <w:lang w:val="uk-UA"/>
              </w:rPr>
              <w:t>1) Здійснює: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в межах наданих повноважень керівництво діяльністю відділу;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планування видатків обласного та державного бюджетів;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підготовку кошторисної документації щодо асигнувань, які надходять з обласного бюджету на фінансування: програми соціального захисту людей похилого віку, інвалідів та підтримки сім'ї, утвердження гендерної рівності і протидії торгівлі людьми; програм і заходів органів виконавчої влади у справах сім’ї; утримання центрів соціальних служб для сім’ї, дітей та молоді; програм і заходів центрів соціальних служб для сім’ї, дітей та молоді; програм і заходів з питань забезпечення рівних прав та можливостей жінок і чоловіків;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 w:val="22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</w:t>
            </w:r>
            <w:r>
              <w:rPr>
                <w:spacing w:val="-10"/>
                <w:lang w:val="uk-UA"/>
              </w:rPr>
              <w:t xml:space="preserve">планування кошторисної документації щодо асигнувань, які надходять з державного бюджету на фінансування програм: </w:t>
            </w:r>
            <w:r>
              <w:rPr>
                <w:spacing w:val="-10"/>
                <w:szCs w:val="28"/>
                <w:lang w:val="uk-UA"/>
              </w:rPr>
              <w:t>заходи із психологічної реабілітації,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санаторно-курортним лікуванням; заходи із соціальної, трудової та професійної реабілітації інвалідів</w:t>
            </w:r>
            <w:r>
              <w:rPr>
                <w:spacing w:val="-10"/>
                <w:sz w:val="22"/>
                <w:szCs w:val="28"/>
                <w:lang w:val="uk-UA"/>
              </w:rPr>
              <w:t>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lang w:val="uk-UA"/>
              </w:rPr>
            </w:pPr>
            <w:r>
              <w:rPr>
                <w:spacing w:val="-10"/>
                <w:sz w:val="22"/>
                <w:szCs w:val="28"/>
                <w:lang w:val="uk-UA"/>
              </w:rPr>
              <w:t xml:space="preserve">-   </w:t>
            </w:r>
            <w:r>
              <w:rPr>
                <w:spacing w:val="-10"/>
                <w:lang w:val="uk-UA"/>
              </w:rPr>
              <w:t>облік фактичних видатків;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 w:val="22"/>
                <w:szCs w:val="28"/>
                <w:lang w:val="uk-UA"/>
              </w:rPr>
            </w:pPr>
            <w:r>
              <w:rPr>
                <w:spacing w:val="-10"/>
                <w:lang w:val="uk-UA"/>
              </w:rPr>
              <w:t xml:space="preserve">- ведення книги розрахунків та асигнувань по коштам призначеним на фінансування з державного бюджету: </w:t>
            </w:r>
            <w:r>
              <w:rPr>
                <w:spacing w:val="-10"/>
                <w:szCs w:val="28"/>
                <w:lang w:val="uk-UA"/>
              </w:rPr>
              <w:t>заходів із психологічної реабілітації,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санаторно-курортним лікуванням; заходів із соціальної, трудової та професійної реабілітації інвалідів</w:t>
            </w:r>
            <w:r>
              <w:rPr>
                <w:spacing w:val="-10"/>
                <w:sz w:val="22"/>
                <w:szCs w:val="28"/>
                <w:lang w:val="uk-UA"/>
              </w:rPr>
              <w:t>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 w:val="22"/>
                <w:szCs w:val="28"/>
                <w:lang w:val="uk-UA"/>
              </w:rPr>
            </w:pPr>
            <w:r>
              <w:rPr>
                <w:spacing w:val="-10"/>
                <w:sz w:val="22"/>
                <w:szCs w:val="28"/>
                <w:lang w:val="uk-UA"/>
              </w:rPr>
              <w:t xml:space="preserve">- контроль за </w:t>
            </w:r>
            <w:r>
              <w:rPr>
                <w:spacing w:val="-10"/>
                <w:szCs w:val="28"/>
                <w:lang w:val="uk-UA"/>
              </w:rPr>
              <w:t xml:space="preserve">своєчасним та цільовим використання коштів пенсійного фонду України, які надходять до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>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своєчасний аналіз та звітність щодо матеріально-технічного забезпечення бази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 xml:space="preserve">; 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 контроль за організацією раціонального харчування вихованців та підопічних в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 xml:space="preserve"> у відповідності до затверджених добових норм харчування; 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контроль щодо забезпечення комунальних закладів необхідним обладнанням та інвентарем (м’яким, твердим) та вносить пропозиції щодо їх придбання;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своєчасний розгляд звернень громадян, заяв, скарг, що входять до компетенції відділу, вносить пропозицій по усуненню причин, які породжують скарги;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розробку пропозицій, комплексних заходів, які стосуються фінансування і зміцнення матеріально-технічної бази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>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 узагальнення і аналіз стан харчування вихованців та підопічних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 xml:space="preserve">; 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lastRenderedPageBreak/>
              <w:t xml:space="preserve">- підготовку звітності за затвердженими формами з питань харчування громадян, які проживають в </w:t>
            </w:r>
            <w:r>
              <w:rPr>
                <w:spacing w:val="-10"/>
                <w:lang w:val="uk-UA"/>
              </w:rPr>
              <w:t>бюджетних установ соціального захисту</w:t>
            </w:r>
            <w:r>
              <w:rPr>
                <w:spacing w:val="-10"/>
                <w:szCs w:val="28"/>
                <w:lang w:val="uk-UA"/>
              </w:rPr>
              <w:t xml:space="preserve">; 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аналіз та підготовку до вищих органів влади інформації, статистичних звітів щодо соціального обслуговування та надання соціальних послуг відповідно до компетенції роботи відділу; 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інформаційно-роз’яснювальну роботу серед населення щодо нормативно-правових актів про соціальне обслуговування та надання соціальних послуг інвалідам, громадянам похилого віку, дітям-інвалідам відповідно до компетенції роботи відділу;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надання галузевої звітності, довідкових та аналітичних матеріалів з питань соціального обслуговування населення у встановленому порядку;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підготовку пропозицій та проектів відповідних рішень керівництву Департаменту.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2) Забезпечує: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складання і своєчасне подання до Державної служби України у справах ветеранів війни та учасників антитерористичної операції та Головного управління  Державного казначейства України в Луганській області індивідуальних місячних та квартальних звітів, за визначеними чинним законодавством формами звітності, по коштам, які передбачені в державному бюджеті на виконання програм:  заходи із психологічної реабілітації,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санаторно-курортним лікуванням; заходи із соціальної, трудової та професійної реабілітації інвалідів;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забезпечує складання і своєчасне подання до Міністерства соціальної політики України звіту про цільове використання надходжень та використання коштів Пенсійного фонду;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підготовку та подання до Головного управління Державної казначейської служби України в Луганській області та Департаменту фінансів облдержадміністрації зведеної квартальної фінансової звітності по коштам обласного бюджету, передбаченим на фінансування установ, закладів та заходів системи соціального захисту населення;</w:t>
            </w:r>
          </w:p>
          <w:p w:rsidR="00315F61" w:rsidRDefault="00315F61">
            <w:pPr>
              <w:pStyle w:val="a4"/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надання оперативної інформації та звітності встановленим органам у відповідні терміни.</w:t>
            </w:r>
          </w:p>
          <w:p w:rsidR="00315F61" w:rsidRDefault="00315F61">
            <w:pPr>
              <w:tabs>
                <w:tab w:val="num" w:pos="0"/>
              </w:tabs>
              <w:spacing w:line="220" w:lineRule="auto"/>
              <w:ind w:firstLine="406"/>
              <w:jc w:val="both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3) Бере участь:</w:t>
            </w:r>
          </w:p>
          <w:p w:rsidR="00315F61" w:rsidRDefault="00315F61">
            <w:pPr>
              <w:pStyle w:val="a4"/>
              <w:tabs>
                <w:tab w:val="left" w:pos="690"/>
              </w:tabs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у перевірках господарської діяльності бюджетних установ соціального захисту та забезпечення ними надання соціальних послуг;</w:t>
            </w:r>
          </w:p>
          <w:p w:rsidR="00315F61" w:rsidRDefault="00315F61">
            <w:pPr>
              <w:pStyle w:val="a4"/>
              <w:tabs>
                <w:tab w:val="left" w:pos="690"/>
              </w:tabs>
              <w:spacing w:after="0" w:line="220" w:lineRule="auto"/>
              <w:ind w:left="123" w:right="140" w:firstLine="23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у перевірках ефективності використання бюджетних</w:t>
            </w:r>
            <w:r>
              <w:rPr>
                <w:szCs w:val="28"/>
                <w:lang w:val="uk-UA"/>
              </w:rPr>
              <w:t xml:space="preserve"> коштів, </w:t>
            </w:r>
            <w:r>
              <w:rPr>
                <w:spacing w:val="-10"/>
                <w:szCs w:val="28"/>
                <w:lang w:val="uk-UA"/>
              </w:rPr>
              <w:t>забезпечення кваліфікованого здійснення процедури закупівлі товарів, робіт та послуг за державні кошти у підпорядкованих установах;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num" w:pos="0"/>
                <w:tab w:val="left" w:pos="265"/>
                <w:tab w:val="left" w:pos="690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у розробці проектів наказів, матеріалів на колегію Департаменту, готує методичні оглядові матеріали з питань, які передбачені даною інструкцією, а також тих, що належать до компетенції відділу;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265"/>
                <w:tab w:val="left" w:pos="690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 організації нарад, семінарів, конференцій, “круглих столів” з питань, що входять до компетенції відділу;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265"/>
                <w:tab w:val="left" w:pos="690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у підготовці (в межах компетенції) та виконанні доручень, рішень, постанов та інших нормативно-правових актів органів виконавчої влади вищого рівня;</w:t>
            </w:r>
          </w:p>
          <w:p w:rsidR="00315F61" w:rsidRDefault="00315F61">
            <w:pPr>
              <w:tabs>
                <w:tab w:val="left" w:pos="265"/>
              </w:tabs>
              <w:suppressAutoHyphens w:val="0"/>
              <w:spacing w:line="220" w:lineRule="auto"/>
              <w:ind w:left="69" w:right="140" w:firstLine="337"/>
              <w:jc w:val="both"/>
              <w:rPr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Виконує інші функції, передбачені чинним законодавством з питань, що належать до компетенції відділу.</w:t>
            </w:r>
          </w:p>
        </w:tc>
      </w:tr>
      <w:tr w:rsidR="00315F61" w:rsidTr="00613B30">
        <w:trPr>
          <w:trHeight w:val="913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num" w:pos="0"/>
                <w:tab w:val="left" w:pos="265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посадовий оклад;  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num" w:pos="0"/>
                <w:tab w:val="left" w:pos="265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надбавка за вислугу років; 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num" w:pos="0"/>
                <w:tab w:val="left" w:pos="265"/>
              </w:tabs>
              <w:suppressAutoHyphens w:val="0"/>
              <w:spacing w:line="220" w:lineRule="auto"/>
              <w:ind w:left="0" w:right="140" w:firstLine="406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надбавка за ранг державного службовця; 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num" w:pos="0"/>
                <w:tab w:val="left" w:pos="265"/>
              </w:tabs>
              <w:suppressAutoHyphens w:val="0"/>
              <w:spacing w:line="220" w:lineRule="auto"/>
              <w:ind w:left="0" w:right="140" w:firstLine="406"/>
              <w:jc w:val="both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lastRenderedPageBreak/>
              <w:t>премія (у разі встановлення)</w:t>
            </w:r>
            <w:r>
              <w:rPr>
                <w:szCs w:val="28"/>
                <w:lang w:val="uk-UA"/>
              </w:rPr>
              <w:t xml:space="preserve">                                         </w:t>
            </w:r>
          </w:p>
        </w:tc>
      </w:tr>
      <w:tr w:rsidR="00315F61" w:rsidTr="00613B30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ind w:left="123" w:hanging="54"/>
              <w:rPr>
                <w:lang w:val="uk-UA" w:eastAsia="uk-UA"/>
              </w:rPr>
            </w:pPr>
            <w:r>
              <w:rPr>
                <w:lang w:val="uk-UA" w:eastAsia="uk-UA"/>
              </w:rPr>
              <w:t>Безстрокове призначення на вакантну посаду</w:t>
            </w:r>
          </w:p>
        </w:tc>
      </w:tr>
      <w:tr w:rsidR="00315F61" w:rsidTr="00613B30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1)  копія паспорту громадянина України;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2) письмова заява про участь у конкурсі із зазначенням основних мотивів для зайняття посади державної служби до якої додається резюме у довільній формі;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3) 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рік;</w:t>
            </w: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spacing w:val="-10"/>
                <w:szCs w:val="28"/>
                <w:lang w:val="uk-UA"/>
              </w:rPr>
            </w:pPr>
          </w:p>
          <w:p w:rsidR="00315F61" w:rsidRDefault="00315F61">
            <w:pPr>
              <w:spacing w:line="220" w:lineRule="auto"/>
              <w:ind w:left="123" w:right="140"/>
              <w:rPr>
                <w:color w:val="000000"/>
                <w:lang w:val="uk-UA" w:eastAsia="uk-UA"/>
              </w:rPr>
            </w:pPr>
          </w:p>
          <w:p w:rsidR="00315F61" w:rsidRDefault="00315F61">
            <w:pPr>
              <w:spacing w:line="220" w:lineRule="auto"/>
              <w:ind w:left="123" w:right="140"/>
              <w:jc w:val="both"/>
              <w:rPr>
                <w:color w:val="000000"/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Строк подання документів для участі в конкурсі: 15 календарних днів з дня оприлюднення інформації про проведення конкурсу на офіційних веб-сайтах Департаменту соціального захисту населення Луганської обласної державної адміністрації та НАДС (останній день прийому документів – 18.01.2018 року)</w:t>
            </w:r>
          </w:p>
        </w:tc>
      </w:tr>
      <w:tr w:rsidR="00315F61" w:rsidTr="00613B30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Місце, час та дата проведення конкурсу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</w:p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93411, Луганська область, </w:t>
            </w:r>
          </w:p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proofErr w:type="spellStart"/>
            <w:r>
              <w:rPr>
                <w:spacing w:val="-10"/>
                <w:szCs w:val="28"/>
                <w:lang w:val="uk-UA"/>
              </w:rPr>
              <w:t>м.Сєвєродонецьк</w:t>
            </w:r>
            <w:proofErr w:type="spellEnd"/>
            <w:r>
              <w:rPr>
                <w:spacing w:val="-10"/>
                <w:szCs w:val="28"/>
                <w:lang w:val="uk-UA"/>
              </w:rPr>
              <w:t>,</w:t>
            </w:r>
          </w:p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пр-т Гвардійський, 30/1,</w:t>
            </w:r>
          </w:p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23.01.2018 о 10:00 год.</w:t>
            </w:r>
          </w:p>
        </w:tc>
      </w:tr>
      <w:tr w:rsidR="00315F61" w:rsidTr="00613B30"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rPr>
                <w:bCs/>
                <w:spacing w:val="-10"/>
                <w:lang w:val="uk-UA" w:eastAsia="uk-UA"/>
              </w:rPr>
            </w:pPr>
            <w:r>
              <w:rPr>
                <w:bCs/>
                <w:spacing w:val="-10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pStyle w:val="a3"/>
              <w:spacing w:before="0" w:beforeAutospacing="0" w:after="0" w:afterAutospacing="0" w:line="220" w:lineRule="auto"/>
              <w:ind w:firstLine="103"/>
              <w:jc w:val="both"/>
              <w:rPr>
                <w:rFonts w:eastAsia="Andale Sans UI"/>
                <w:spacing w:val="-10"/>
                <w:szCs w:val="28"/>
                <w:lang w:val="uk-UA" w:eastAsia="zh-CN"/>
              </w:rPr>
            </w:pPr>
            <w:proofErr w:type="spellStart"/>
            <w:r>
              <w:rPr>
                <w:rFonts w:eastAsia="Andale Sans UI"/>
                <w:spacing w:val="-10"/>
                <w:szCs w:val="28"/>
                <w:lang w:val="uk-UA" w:eastAsia="zh-CN"/>
              </w:rPr>
              <w:t>Оробцова</w:t>
            </w:r>
            <w:proofErr w:type="spellEnd"/>
            <w:r>
              <w:rPr>
                <w:rFonts w:eastAsia="Andale Sans UI"/>
                <w:spacing w:val="-10"/>
                <w:szCs w:val="28"/>
                <w:lang w:val="uk-UA" w:eastAsia="zh-CN"/>
              </w:rPr>
              <w:t xml:space="preserve"> Ольга Василівна, </w:t>
            </w:r>
          </w:p>
          <w:p w:rsidR="00315F61" w:rsidRDefault="00315F61">
            <w:pPr>
              <w:pStyle w:val="a3"/>
              <w:spacing w:before="0" w:beforeAutospacing="0" w:after="0" w:afterAutospacing="0" w:line="220" w:lineRule="auto"/>
              <w:ind w:firstLine="103"/>
              <w:jc w:val="both"/>
              <w:rPr>
                <w:rFonts w:eastAsia="Andale Sans UI"/>
                <w:spacing w:val="-10"/>
                <w:szCs w:val="28"/>
                <w:lang w:val="uk-UA" w:eastAsia="zh-CN"/>
              </w:rPr>
            </w:pPr>
            <w:r>
              <w:rPr>
                <w:rFonts w:eastAsia="Andale Sans UI"/>
                <w:spacing w:val="-10"/>
                <w:szCs w:val="28"/>
                <w:lang w:val="uk-UA" w:eastAsia="zh-CN"/>
              </w:rPr>
              <w:t xml:space="preserve">(06452)30388,  </w:t>
            </w:r>
          </w:p>
          <w:p w:rsidR="00315F61" w:rsidRDefault="00315F61">
            <w:pPr>
              <w:pStyle w:val="a3"/>
              <w:spacing w:before="0" w:beforeAutospacing="0" w:after="0" w:afterAutospacing="0" w:line="220" w:lineRule="auto"/>
              <w:ind w:firstLine="103"/>
              <w:jc w:val="both"/>
              <w:rPr>
                <w:rFonts w:eastAsia="Andale Sans UI"/>
                <w:spacing w:val="-10"/>
                <w:szCs w:val="28"/>
                <w:lang w:val="uk-UA" w:eastAsia="zh-CN"/>
              </w:rPr>
            </w:pPr>
            <w:r>
              <w:rPr>
                <w:rFonts w:eastAsia="Andale Sans UI"/>
                <w:spacing w:val="-10"/>
                <w:szCs w:val="28"/>
                <w:lang w:val="uk-UA" w:eastAsia="zh-CN"/>
              </w:rPr>
              <w:t>e-</w:t>
            </w:r>
            <w:proofErr w:type="spellStart"/>
            <w:r>
              <w:rPr>
                <w:rFonts w:eastAsia="Andale Sans UI"/>
                <w:spacing w:val="-10"/>
                <w:szCs w:val="28"/>
                <w:lang w:val="uk-UA" w:eastAsia="zh-CN"/>
              </w:rPr>
              <w:t>mail</w:t>
            </w:r>
            <w:proofErr w:type="spellEnd"/>
            <w:r>
              <w:rPr>
                <w:rFonts w:eastAsia="Andale Sans UI"/>
                <w:spacing w:val="-10"/>
                <w:szCs w:val="28"/>
                <w:lang w:val="uk-UA" w:eastAsia="zh-CN"/>
              </w:rPr>
              <w:t>: dszn_loga@i.ua</w:t>
            </w:r>
          </w:p>
        </w:tc>
      </w:tr>
      <w:tr w:rsidR="00315F61" w:rsidTr="00613B3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Кваліфікаційні вимоги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вища освіта ступеня магістра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Досвід роботи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firstLine="92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досвід роботи на посадах державної служби категорії «Б» чи «В» або 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Володіння державною мовою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15F61" w:rsidTr="00613B3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Вимоги до компетентності</w:t>
            </w:r>
          </w:p>
        </w:tc>
      </w:tr>
      <w:tr w:rsidR="00315F61" w:rsidTr="00613B30"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Вимога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Компоненти вимоги</w:t>
            </w:r>
          </w:p>
        </w:tc>
      </w:tr>
      <w:tr w:rsidR="00315F61" w:rsidRPr="00613B30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color w:val="FF0000"/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вищу освіту ступеня спеціаліста або магістра за однією із спеціальностей: «Фінанси, банківська справа та страхування», «Економіка», «Облік і оподаткування», «Публічне управління та адміністрування», «Професійна освіта»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Спеціальний досвід роботи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досвід роботи на керівних посадах підприємств, установ незалежно від форм власності не менше 2 років;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вміння якісно виконувати поставлені завдання: працювати з інформацією, вирішувати комплексні завдання, надавати пропозиції, їх аргументувати та презентувати;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вміння працювати в команді, ефективно координувати діяльність з іншими, надавати зворотний зв'язок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системне планування роботи підрозділу;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раціональний розподіл обов’язків між підлеглими;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форма та методи організації роботи і контроль за її виконання;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вміння формувати командний тип управління та </w:t>
            </w:r>
            <w:proofErr w:type="spellStart"/>
            <w:r>
              <w:rPr>
                <w:spacing w:val="-10"/>
                <w:szCs w:val="28"/>
                <w:lang w:val="uk-UA"/>
              </w:rPr>
              <w:t>результативно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 керувати командою;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методи оцінки працівників, створення умов для розвитку підлеглих, у тому числі кар’єрного росту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знання загальних принципів функціонування інформаційних технологій для обробки, систематизації, обміну та аналізу інформації;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вміння користуватись оргтехнікою;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досвід роботи з програмними пакетами Microsoft Office (Word, </w:t>
            </w:r>
            <w:proofErr w:type="spellStart"/>
            <w:r>
              <w:rPr>
                <w:spacing w:val="-10"/>
                <w:szCs w:val="28"/>
                <w:lang w:val="uk-UA"/>
              </w:rPr>
              <w:t>Exсel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, Outlook Express, </w:t>
            </w:r>
            <w:proofErr w:type="spellStart"/>
            <w:r>
              <w:rPr>
                <w:spacing w:val="-10"/>
                <w:szCs w:val="28"/>
                <w:lang w:val="uk-UA"/>
              </w:rPr>
              <w:t>Exсel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, </w:t>
            </w:r>
            <w:proofErr w:type="spellStart"/>
            <w:r>
              <w:rPr>
                <w:spacing w:val="-10"/>
                <w:szCs w:val="28"/>
                <w:lang w:val="uk-UA"/>
              </w:rPr>
              <w:t>Power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10"/>
                <w:szCs w:val="28"/>
                <w:lang w:val="uk-UA"/>
              </w:rPr>
              <w:t>Point</w:t>
            </w:r>
            <w:proofErr w:type="spellEnd"/>
            <w:r>
              <w:rPr>
                <w:spacing w:val="-10"/>
                <w:szCs w:val="28"/>
                <w:lang w:val="uk-UA"/>
              </w:rPr>
              <w:t>),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навички роботи з інформаційно-пошуковими системами в мережі Інтернет,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вміння користуватися електронною поштою.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Особистісні якості і компетенції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організованість;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відповідальність;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системність і самостійність в роботі;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аналітичні здібності;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навички самовдосконалення, саморозвитку і самоосвіти;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уважність і послідовність, наполегливість;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proofErr w:type="spellStart"/>
            <w:r>
              <w:rPr>
                <w:spacing w:val="-10"/>
                <w:szCs w:val="28"/>
                <w:lang w:val="uk-UA"/>
              </w:rPr>
              <w:t>інноваційність</w:t>
            </w:r>
            <w:proofErr w:type="spellEnd"/>
            <w:r>
              <w:rPr>
                <w:spacing w:val="-10"/>
                <w:szCs w:val="28"/>
                <w:lang w:val="uk-UA"/>
              </w:rPr>
              <w:t xml:space="preserve"> та креативність;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дипломатичність; 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вміння працювати в ситуаціях з підвищеною психоемоційною та інтелектуальною напругою.</w:t>
            </w:r>
          </w:p>
        </w:tc>
      </w:tr>
      <w:tr w:rsidR="00315F61" w:rsidTr="00613B30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tabs>
                <w:tab w:val="left" w:pos="993"/>
              </w:tabs>
              <w:spacing w:line="220" w:lineRule="auto"/>
              <w:ind w:left="92" w:right="140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Професійні знання</w:t>
            </w:r>
          </w:p>
        </w:tc>
      </w:tr>
      <w:tr w:rsidR="00315F61" w:rsidTr="00613B30"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tabs>
                <w:tab w:val="left" w:pos="993"/>
              </w:tabs>
              <w:spacing w:line="220" w:lineRule="auto"/>
              <w:ind w:left="92" w:right="14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Вимога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tabs>
                <w:tab w:val="left" w:pos="993"/>
              </w:tabs>
              <w:spacing w:line="220" w:lineRule="auto"/>
              <w:ind w:left="92" w:right="14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Компоненти вимоги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Знання: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Конституції України;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державну службу»;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запобігання корупції»;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місцеві державні адміністрації»;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військово-цивільні адміністрації»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очищення влади»;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доступ до публічної інформації»;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-   Закону України «Про звернення громадян»</w:t>
            </w:r>
          </w:p>
        </w:tc>
      </w:tr>
      <w:tr w:rsidR="00315F61" w:rsidRPr="00613B30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Знання: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Закону України «Про бухгалтерський облік та фінансову звітність в Україні;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Господарського кодексу України;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Господарського процесуального кодексу України;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Бюджетного кодексу України;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-   Кодексу законів про працю України, 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-   Кодексу України про адміністративні правопорушення;</w:t>
            </w:r>
          </w:p>
          <w:p w:rsidR="00315F61" w:rsidRDefault="00315F61">
            <w:pPr>
              <w:spacing w:line="220" w:lineRule="auto"/>
              <w:ind w:left="109" w:right="133" w:firstLine="14"/>
              <w:jc w:val="both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- інших нормативних актів, що стосуються державної служби, діяльності місцевих державних адміністрацій, військово-цивільних адміністрацій, запобігання корупції та діяльності відділу</w:t>
            </w:r>
          </w:p>
        </w:tc>
      </w:tr>
      <w:tr w:rsidR="00315F61" w:rsidTr="00613B3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>
            <w:pPr>
              <w:spacing w:line="22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Професійні чи технічні знання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державна політика з питань державної служби, реформування органів державного управління та публічного права;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розвинені аналітичні та математичні здібності; 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знання практики застосування чинного законодавства у сфері забезпечення соціального захисту населення; форм та методів роботи із засобами масової інформації; бюджетної класифікації, основ економіки, трудових відносин; правил етичної поведінки держслужбовців та основ ділового етикету;</w:t>
            </w:r>
          </w:p>
          <w:p w:rsidR="00315F61" w:rsidRDefault="00315F61" w:rsidP="00A850C3">
            <w:pPr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0" w:lineRule="auto"/>
              <w:ind w:left="92" w:right="140" w:firstLine="0"/>
              <w:jc w:val="both"/>
              <w:rPr>
                <w:lang w:val="uk-UA" w:eastAsia="uk-UA"/>
              </w:rPr>
            </w:pPr>
            <w:r>
              <w:rPr>
                <w:spacing w:val="-10"/>
                <w:szCs w:val="28"/>
                <w:lang w:val="uk-UA"/>
              </w:rPr>
              <w:t>вміння складати бюджетні запити та кошториси бюджетної установи</w:t>
            </w:r>
          </w:p>
        </w:tc>
      </w:tr>
    </w:tbl>
    <w:p w:rsidR="00613B30" w:rsidRDefault="00613B30" w:rsidP="00613B30">
      <w:pPr>
        <w:spacing w:line="22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О.А.ПОЛІЩУК</w:t>
      </w:r>
    </w:p>
    <w:p w:rsidR="00315F61" w:rsidRDefault="00315F61" w:rsidP="00315F61">
      <w:pPr>
        <w:spacing w:line="220" w:lineRule="auto"/>
        <w:rPr>
          <w:b/>
          <w:szCs w:val="28"/>
          <w:lang w:val="uk-UA"/>
        </w:rPr>
      </w:pPr>
    </w:p>
    <w:p w:rsidR="00315F61" w:rsidRDefault="00315F61" w:rsidP="00315F61">
      <w:pPr>
        <w:spacing w:line="220" w:lineRule="auto"/>
        <w:rPr>
          <w:b/>
          <w:szCs w:val="28"/>
          <w:lang w:val="uk-UA"/>
        </w:rPr>
      </w:pPr>
    </w:p>
    <w:p w:rsidR="00315F61" w:rsidRDefault="00315F61" w:rsidP="00315F61">
      <w:pPr>
        <w:spacing w:line="220" w:lineRule="auto"/>
        <w:rPr>
          <w:b/>
          <w:szCs w:val="28"/>
          <w:lang w:val="uk-UA"/>
        </w:rPr>
      </w:pPr>
    </w:p>
    <w:p w:rsidR="00315F61" w:rsidRDefault="00315F61" w:rsidP="00315F61">
      <w:pPr>
        <w:spacing w:line="220" w:lineRule="auto"/>
        <w:rPr>
          <w:b/>
          <w:szCs w:val="28"/>
          <w:lang w:val="uk-UA"/>
        </w:rPr>
      </w:pPr>
    </w:p>
    <w:p w:rsidR="00315F61" w:rsidRDefault="00315F61" w:rsidP="00315F61"/>
    <w:p w:rsidR="00315F61" w:rsidRDefault="00315F61" w:rsidP="00315F61">
      <w:pPr>
        <w:suppressAutoHyphens w:val="0"/>
        <w:spacing w:line="220" w:lineRule="auto"/>
        <w:rPr>
          <w:szCs w:val="26"/>
          <w:lang w:val="uk-UA"/>
        </w:rPr>
        <w:sectPr w:rsidR="00315F61">
          <w:pgSz w:w="11906" w:h="16838"/>
          <w:pgMar w:top="851" w:right="567" w:bottom="567" w:left="1701" w:header="720" w:footer="720" w:gutter="0"/>
          <w:cols w:space="720"/>
        </w:sectPr>
      </w:pPr>
    </w:p>
    <w:p w:rsidR="00A506F8" w:rsidRDefault="00A506F8" w:rsidP="00315F61">
      <w:pPr>
        <w:spacing w:line="220" w:lineRule="auto"/>
      </w:pPr>
    </w:p>
    <w:sectPr w:rsidR="00A5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E"/>
    <w:rsid w:val="001D002E"/>
    <w:rsid w:val="00315F61"/>
    <w:rsid w:val="004E0D13"/>
    <w:rsid w:val="00595096"/>
    <w:rsid w:val="00613B30"/>
    <w:rsid w:val="006F61F2"/>
    <w:rsid w:val="007E73E0"/>
    <w:rsid w:val="00A31179"/>
    <w:rsid w:val="00A506F8"/>
    <w:rsid w:val="00BC67C4"/>
    <w:rsid w:val="00D927BF"/>
    <w:rsid w:val="00EB1457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52D4-F5E1-4072-8481-4048031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61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6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15F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5F61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950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096"/>
    <w:rPr>
      <w:rFonts w:ascii="Segoe UI" w:eastAsia="Andale Sans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2018-01-04T14:38:00Z</cp:lastPrinted>
  <dcterms:created xsi:type="dcterms:W3CDTF">2018-01-04T14:39:00Z</dcterms:created>
  <dcterms:modified xsi:type="dcterms:W3CDTF">2018-01-04T14:39:00Z</dcterms:modified>
</cp:coreProperties>
</file>