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70FEF" w14:textId="6878BF99" w:rsidR="00DC3410" w:rsidRDefault="00A21E6F" w:rsidP="00DC3410">
      <w:pPr>
        <w:rPr>
          <w:noProof/>
          <w:lang w:val="uk-UA"/>
        </w:rPr>
      </w:pPr>
      <w:r>
        <w:rPr>
          <w:noProof/>
        </w:rPr>
        <w:drawing>
          <wp:inline distT="0" distB="0" distL="0" distR="0" wp14:anchorId="4012D828" wp14:editId="3F32AEB9">
            <wp:extent cx="5105400" cy="25241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DC3410">
        <w:rPr>
          <w:noProof/>
          <w:lang w:val="uk-UA"/>
        </w:rPr>
        <w:t xml:space="preserve">       </w:t>
      </w:r>
      <w:r w:rsidR="003503FD">
        <w:rPr>
          <w:noProof/>
        </w:rPr>
        <w:drawing>
          <wp:inline distT="0" distB="0" distL="0" distR="0" wp14:anchorId="630D33B0" wp14:editId="0F01D4B7">
            <wp:extent cx="4950460" cy="2647950"/>
            <wp:effectExtent l="0" t="0" r="254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E1E6CC9-E677-4853-86D7-C0B912B909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B5B4B3D" w14:textId="77777777" w:rsidR="00B435BF" w:rsidRPr="00B435BF" w:rsidRDefault="00B435BF" w:rsidP="00DC3410">
      <w:pPr>
        <w:rPr>
          <w:noProof/>
          <w:lang w:val="uk-UA"/>
        </w:rPr>
      </w:pPr>
    </w:p>
    <w:p w14:paraId="7B27376B" w14:textId="5B5AEC17" w:rsidR="00DC3410" w:rsidRDefault="00A16C90" w:rsidP="00DC3410">
      <w:pPr>
        <w:rPr>
          <w:noProof/>
        </w:rPr>
      </w:pPr>
      <w:r>
        <w:rPr>
          <w:noProof/>
        </w:rPr>
        <w:drawing>
          <wp:inline distT="0" distB="0" distL="0" distR="0" wp14:anchorId="4A201EBF" wp14:editId="2B60EDB6">
            <wp:extent cx="10115550" cy="383857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26D7075" w14:textId="131D8637" w:rsidR="009E02A1" w:rsidRDefault="009E02A1" w:rsidP="0099630B">
      <w:pPr>
        <w:rPr>
          <w:noProof/>
        </w:rPr>
      </w:pPr>
    </w:p>
    <w:p w14:paraId="6EB2B2A3" w14:textId="234D7DB1" w:rsidR="00872C75" w:rsidRDefault="00334DD7" w:rsidP="0099630B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32C3052" wp14:editId="4A4CD2D7">
            <wp:simplePos x="0" y="0"/>
            <wp:positionH relativeFrom="column">
              <wp:posOffset>1229360</wp:posOffset>
            </wp:positionH>
            <wp:positionV relativeFrom="paragraph">
              <wp:posOffset>286385</wp:posOffset>
            </wp:positionV>
            <wp:extent cx="7886700" cy="6362700"/>
            <wp:effectExtent l="0" t="0" r="0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</w:p>
    <w:p w14:paraId="7CD4C275" w14:textId="198520F1" w:rsidR="00872C75" w:rsidRDefault="00872C75" w:rsidP="00872C75">
      <w:pPr>
        <w:jc w:val="center"/>
        <w:rPr>
          <w:noProof/>
        </w:rPr>
      </w:pPr>
    </w:p>
    <w:p w14:paraId="529E80F3" w14:textId="77777777" w:rsidR="00872C75" w:rsidRDefault="00872C75" w:rsidP="0099630B">
      <w:pPr>
        <w:rPr>
          <w:noProof/>
        </w:rPr>
      </w:pPr>
    </w:p>
    <w:p w14:paraId="59DF7C10" w14:textId="53644501" w:rsidR="009E02A1" w:rsidRPr="0024277B" w:rsidRDefault="009E02A1" w:rsidP="0024277B">
      <w:pPr>
        <w:tabs>
          <w:tab w:val="left" w:pos="2952"/>
        </w:tabs>
      </w:pPr>
    </w:p>
    <w:sectPr w:rsidR="009E02A1" w:rsidRPr="0024277B" w:rsidSect="00036077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64"/>
    <w:rsid w:val="000319A2"/>
    <w:rsid w:val="00036077"/>
    <w:rsid w:val="000577DB"/>
    <w:rsid w:val="00066855"/>
    <w:rsid w:val="00073C94"/>
    <w:rsid w:val="000C69DA"/>
    <w:rsid w:val="000F06EC"/>
    <w:rsid w:val="001020AB"/>
    <w:rsid w:val="001025DD"/>
    <w:rsid w:val="00110E42"/>
    <w:rsid w:val="001134EF"/>
    <w:rsid w:val="001263CF"/>
    <w:rsid w:val="001632CF"/>
    <w:rsid w:val="0017435E"/>
    <w:rsid w:val="001B3951"/>
    <w:rsid w:val="00222DF4"/>
    <w:rsid w:val="0024277B"/>
    <w:rsid w:val="00246B7B"/>
    <w:rsid w:val="00273F3D"/>
    <w:rsid w:val="002C13CE"/>
    <w:rsid w:val="00304E56"/>
    <w:rsid w:val="00334DD7"/>
    <w:rsid w:val="003503FD"/>
    <w:rsid w:val="00363813"/>
    <w:rsid w:val="00365846"/>
    <w:rsid w:val="00366AC0"/>
    <w:rsid w:val="003E2149"/>
    <w:rsid w:val="0042617A"/>
    <w:rsid w:val="004503EC"/>
    <w:rsid w:val="0045170A"/>
    <w:rsid w:val="00495C9C"/>
    <w:rsid w:val="004E4C30"/>
    <w:rsid w:val="0054724E"/>
    <w:rsid w:val="00556277"/>
    <w:rsid w:val="005B2372"/>
    <w:rsid w:val="005D384F"/>
    <w:rsid w:val="005E7121"/>
    <w:rsid w:val="00631CE5"/>
    <w:rsid w:val="0063725F"/>
    <w:rsid w:val="00637ADB"/>
    <w:rsid w:val="00654789"/>
    <w:rsid w:val="0069060B"/>
    <w:rsid w:val="006D0B77"/>
    <w:rsid w:val="006D3771"/>
    <w:rsid w:val="00702026"/>
    <w:rsid w:val="00732DF1"/>
    <w:rsid w:val="007436FF"/>
    <w:rsid w:val="007479EE"/>
    <w:rsid w:val="00774A53"/>
    <w:rsid w:val="007A49FE"/>
    <w:rsid w:val="007A5E96"/>
    <w:rsid w:val="00802C52"/>
    <w:rsid w:val="008150E6"/>
    <w:rsid w:val="00850154"/>
    <w:rsid w:val="00851529"/>
    <w:rsid w:val="00853C6A"/>
    <w:rsid w:val="00872C75"/>
    <w:rsid w:val="008779B3"/>
    <w:rsid w:val="008954F3"/>
    <w:rsid w:val="008A37D8"/>
    <w:rsid w:val="00973103"/>
    <w:rsid w:val="0099630B"/>
    <w:rsid w:val="009E02A1"/>
    <w:rsid w:val="00A1335B"/>
    <w:rsid w:val="00A16C90"/>
    <w:rsid w:val="00A21E6F"/>
    <w:rsid w:val="00A43566"/>
    <w:rsid w:val="00B435BF"/>
    <w:rsid w:val="00B93A63"/>
    <w:rsid w:val="00BA5B8F"/>
    <w:rsid w:val="00C00F72"/>
    <w:rsid w:val="00C20292"/>
    <w:rsid w:val="00C26C76"/>
    <w:rsid w:val="00C35EC0"/>
    <w:rsid w:val="00C374B1"/>
    <w:rsid w:val="00C9668E"/>
    <w:rsid w:val="00CF0467"/>
    <w:rsid w:val="00D43DB0"/>
    <w:rsid w:val="00DA1861"/>
    <w:rsid w:val="00DC3410"/>
    <w:rsid w:val="00E07ECA"/>
    <w:rsid w:val="00E54456"/>
    <w:rsid w:val="00EE14D0"/>
    <w:rsid w:val="00F46464"/>
    <w:rsid w:val="00F55348"/>
    <w:rsid w:val="00FA6A41"/>
    <w:rsid w:val="00FD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0846"/>
  <w15:chartTrackingRefBased/>
  <w15:docId w15:val="{B058A33A-BE85-4991-A17A-27657134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ru-RU" sz="140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Всього НАДІЙШЛО</a:t>
            </a:r>
            <a:r>
              <a:rPr lang="ru-RU" sz="1400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 4450</a:t>
            </a:r>
            <a:r>
              <a:rPr lang="uk-UA" sz="1400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 </a:t>
            </a:r>
            <a:r>
              <a:rPr lang="ru-RU" sz="140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звернень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Iквартал 2019 року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852B-445B-B9F1-1280D441CC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52B-445B-B9F1-1280D441CC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52B-445B-B9F1-1280D441CC9D}"/>
              </c:ext>
            </c:extLst>
          </c:dPt>
          <c:dLbls>
            <c:dLbl>
              <c:idx val="0"/>
              <c:layout>
                <c:manualLayout>
                  <c:x val="2.1144278606965175E-2"/>
                  <c:y val="2.3660389049435397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0F3F171-0EE7-4AA5-9F88-B0F93B6049F9}" type="CATEGORYNAME">
                      <a:rPr lang="uk-UA">
                        <a:latin typeface="Book Antiqua" panose="02040602050305030304" pitchFamily="18" charset="0"/>
                      </a:rPr>
                      <a:pPr>
                        <a:defRPr/>
                      </a:pPr>
                      <a:t>[ИМЯ КАТЕГОРИИ]</a:t>
                    </a:fld>
                    <a:endParaRPr lang="uk-UA" baseline="0">
                      <a:latin typeface="Book Antiqua" panose="02040602050305030304" pitchFamily="18" charset="0"/>
                    </a:endParaRPr>
                  </a:p>
                  <a:p>
                    <a:pPr>
                      <a:defRPr/>
                    </a:pPr>
                    <a:r>
                      <a:rPr lang="uk-UA"/>
                      <a:t>2394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2417694989618836"/>
                      <c:h val="0.3391955628187985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52B-445B-B9F1-1280D441CC9D}"/>
                </c:ext>
              </c:extLst>
            </c:dLbl>
            <c:dLbl>
              <c:idx val="1"/>
              <c:layout>
                <c:manualLayout>
                  <c:x val="0.24253731343283572"/>
                  <c:y val="0.1780910019857618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81ED6B0-6C57-4724-8869-1BC10A85107A}" type="CATEGORYNAME">
                      <a:rPr lang="uk-UA" sz="1000">
                        <a:latin typeface="Book Antiqua" panose="0204060205030503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uk-UA" sz="1000" baseline="0">
                      <a:latin typeface="Book Antiqua" panose="02040602050305030304" pitchFamily="18" charset="0"/>
                    </a:endParaRP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uk-UA" sz="1000" baseline="0">
                        <a:latin typeface="Book Antiqua" panose="02040602050305030304" pitchFamily="18" charset="0"/>
                      </a:rPr>
                      <a:t> 2056 (звернення 460, консультації 1596)</a:t>
                    </a: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endParaRPr lang="uk-UA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910306734046304"/>
                      <c:h val="0.4935151785272123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52B-445B-B9F1-1280D441CC9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852B-445B-B9F1-1280D441CC9D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4472C4"/>
                </a:solidFill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Урядова гаряча лінія</c:v>
                </c:pt>
                <c:pt idx="1">
                  <c:v>Гаряча лінія облдержадміністрації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2450</c:v>
                </c:pt>
                <c:pt idx="1">
                  <c:v>1084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2B-445B-B9F1-1280D441CC9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gapWidth val="15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normalizeH="0" baseline="0">
                <a:solidFill>
                  <a:schemeClr val="accent1">
                    <a:lumMod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kumimoji="0" lang="ru-RU" sz="1400" b="1" i="0" u="none" strike="noStrike" kern="1200" cap="none" spc="0" normalizeH="0" baseline="0" noProof="0">
                <a:ln>
                  <a:noFill/>
                </a:ln>
                <a:solidFill>
                  <a:schemeClr val="accent1">
                    <a:lumMod val="50000"/>
                  </a:schemeClr>
                </a:solidFill>
                <a:effectLst/>
                <a:uLnTx/>
                <a:uFillTx/>
                <a:latin typeface="Book Antiqua" panose="02040602050305030304" pitchFamily="18" charset="0"/>
              </a:rPr>
              <a:t>НАДІСЛАНО НА РОЗГЛЯД  </a:t>
            </a:r>
          </a:p>
          <a:p>
            <a:pPr>
              <a:defRPr sz="1400">
                <a:solidFill>
                  <a:schemeClr val="accent1">
                    <a:lumMod val="50000"/>
                  </a:schemeClr>
                </a:solidFill>
              </a:defRPr>
            </a:pPr>
            <a:r>
              <a:rPr kumimoji="0" lang="ru-RU" sz="1400" b="1" i="0" u="none" strike="noStrike" kern="1200" cap="none" spc="0" normalizeH="0" baseline="0" noProof="0">
                <a:ln>
                  <a:noFill/>
                </a:ln>
                <a:solidFill>
                  <a:schemeClr val="accent1">
                    <a:lumMod val="50000"/>
                  </a:schemeClr>
                </a:solidFill>
                <a:effectLst/>
                <a:uLnTx/>
                <a:uFillTx/>
                <a:latin typeface="Book Antiqua" panose="02040602050305030304" pitchFamily="18" charset="0"/>
              </a:rPr>
              <a:t>2854 ЗВЕРНЕННЯ</a:t>
            </a:r>
          </a:p>
        </c:rich>
      </c:tx>
      <c:layout>
        <c:manualLayout>
          <c:xMode val="edge"/>
          <c:yMode val="edge"/>
          <c:x val="0.24473442871975534"/>
          <c:y val="2.21320545924013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normalizeH="0" baseline="0">
              <a:solidFill>
                <a:schemeClr val="accent1">
                  <a:lumMod val="50000"/>
                </a:schemeClr>
              </a:solidFill>
              <a:latin typeface="+mj-lt"/>
              <a:ea typeface="+mj-ea"/>
              <a:cs typeface="+mj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3B8-4920-A137-B900D1ED2216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3B8-4920-A137-B900D1ED2216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3B8-4920-A137-B900D1ED2216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3B8-4920-A137-B900D1ED2216}"/>
              </c:ext>
            </c:extLst>
          </c:dPt>
          <c:dLbls>
            <c:dLbl>
              <c:idx val="0"/>
              <c:layout>
                <c:manualLayout>
                  <c:x val="0.15474378488077117"/>
                  <c:y val="-7.6586433260393869E-2"/>
                </c:manualLayout>
              </c:layout>
              <c:tx>
                <c:rich>
                  <a:bodyPr/>
                  <a:lstStyle/>
                  <a:p>
                    <a:fld id="{D17E0E8D-5432-4AF3-81AA-0EEC706F69F2}" type="VALUE">
                      <a:rPr lang="en-US"/>
                      <a:pPr/>
                      <a:t>[ЗНАЧЕНИЕ]</a:t>
                    </a:fld>
                    <a:endParaRPr lang="uk-UA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3B8-4920-A137-B900D1ED2216}"/>
                </c:ext>
              </c:extLst>
            </c:dLbl>
            <c:dLbl>
              <c:idx val="1"/>
              <c:layout>
                <c:manualLayout>
                  <c:x val="-8.3713850837138504E-2"/>
                  <c:y val="-8.3880379285193318E-2"/>
                </c:manualLayout>
              </c:layout>
              <c:tx>
                <c:rich>
                  <a:bodyPr/>
                  <a:lstStyle/>
                  <a:p>
                    <a:fld id="{2C8C3D4D-54AC-4077-9732-277357A8CCC9}" type="VALUE">
                      <a:rPr lang="en-US"/>
                      <a:pPr/>
                      <a:t>[ЗНАЧЕНИЕ]</a:t>
                    </a:fld>
                    <a:endParaRPr lang="uk-UA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3B8-4920-A137-B900D1ED2216}"/>
                </c:ext>
              </c:extLst>
            </c:dLbl>
            <c:dLbl>
              <c:idx val="2"/>
              <c:layout>
                <c:manualLayout>
                  <c:x val="-3.2978183663115168E-2"/>
                  <c:y val="-0.12399708242159012"/>
                </c:manualLayout>
              </c:layout>
              <c:tx>
                <c:rich>
                  <a:bodyPr/>
                  <a:lstStyle/>
                  <a:p>
                    <a:fld id="{BCB87448-4183-44E6-B46F-6235F59C80F6}" type="VALUE">
                      <a:rPr lang="en-US"/>
                      <a:pPr/>
                      <a:t>[ЗНАЧЕНИЕ]</a:t>
                    </a:fld>
                    <a:endParaRPr lang="uk-UA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3B8-4920-A137-B900D1ED2216}"/>
                </c:ext>
              </c:extLst>
            </c:dLbl>
            <c:dLbl>
              <c:idx val="3"/>
              <c:layout>
                <c:manualLayout>
                  <c:x val="3.8051750380517502E-2"/>
                  <c:y val="-0.11305616338439098"/>
                </c:manualLayout>
              </c:layout>
              <c:tx>
                <c:rich>
                  <a:bodyPr/>
                  <a:lstStyle/>
                  <a:p>
                    <a:fld id="{05CD47BD-7CEB-4DCA-A345-9653B168B830}" type="VALUE">
                      <a:rPr lang="en-US"/>
                      <a:pPr/>
                      <a:t>[ЗНАЧЕНИЕ]</a:t>
                    </a:fld>
                    <a:endParaRPr lang="uk-UA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B3B8-4920-A137-B900D1ED2216}"/>
                </c:ext>
              </c:extLst>
            </c:dLbl>
            <c:numFmt formatCode="0.00%" sourceLinked="0"/>
            <c:spPr>
              <a:solidFill>
                <a:sysClr val="window" lastClr="FFFFFF">
                  <a:alpha val="75000"/>
                </a:sysClr>
              </a:solidFill>
              <a:ln w="9525"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Лист1!$A$1:$A$4</c:f>
              <c:strCache>
                <c:ptCount val="4"/>
                <c:pt idx="0">
                  <c:v>Місцеві органи виконавчої влади та місцевого самоврядування</c:v>
                </c:pt>
                <c:pt idx="1">
                  <c:v>Структурні підрозділи облдержадміністрації</c:v>
                </c:pt>
                <c:pt idx="2">
                  <c:v>Територіальні підрозділи центральних органів виконавчої влади</c:v>
                </c:pt>
                <c:pt idx="3">
                  <c:v>Підприємства </c:v>
                </c:pt>
              </c:strCache>
            </c:strRef>
          </c:cat>
          <c:val>
            <c:numRef>
              <c:f>Лист1!$B$1:$B$4</c:f>
              <c:numCache>
                <c:formatCode>0.0%</c:formatCode>
                <c:ptCount val="4"/>
                <c:pt idx="0">
                  <c:v>0.79800000000000004</c:v>
                </c:pt>
                <c:pt idx="1">
                  <c:v>9.8000000000000004E-2</c:v>
                </c:pt>
                <c:pt idx="2">
                  <c:v>3.0000000000000001E-3</c:v>
                </c:pt>
                <c:pt idx="3">
                  <c:v>0.10100000000000001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3B8-4920-A137-B900D1ED22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gradFill>
        <a:gsLst>
          <a:gs pos="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uk-UA" b="1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ГЕОГРАФІЧНИЙ РОЗПОДІЛ ЗВЕРНЕНЬ, НАДІСЛАНИХ НА РОЗГЛЯД </a:t>
            </a:r>
          </a:p>
          <a:p>
            <a:pPr>
              <a:defRPr b="1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defRPr>
            </a:pPr>
            <a:r>
              <a:rPr lang="uk-UA" b="1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у порівнянні з показниками за </a:t>
            </a:r>
            <a:r>
              <a:rPr lang="en-US" b="1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II </a:t>
            </a:r>
            <a:r>
              <a:rPr lang="uk-UA" b="1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квартал 2020 р. </a:t>
            </a:r>
            <a:endParaRPr lang="en-US" b="1" baseline="0">
              <a:solidFill>
                <a:schemeClr val="accent1">
                  <a:lumMod val="50000"/>
                </a:schemeClr>
              </a:solidFill>
              <a:latin typeface="Book Antiqua" panose="02040602050305030304" pitchFamily="18" charset="0"/>
            </a:endParaRPr>
          </a:p>
        </c:rich>
      </c:tx>
      <c:layout>
        <c:manualLayout>
          <c:xMode val="edge"/>
          <c:yMode val="edge"/>
          <c:x val="0.22932890450840537"/>
          <c:y val="4.17506496551454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accent1">
                  <a:lumMod val="50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кв. 2020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Лисичанськ</c:v>
                </c:pt>
                <c:pt idx="1">
                  <c:v>Рубіжне</c:v>
                </c:pt>
                <c:pt idx="2">
                  <c:v>Сєвєродонецьк</c:v>
                </c:pt>
                <c:pt idx="3">
                  <c:v>Біловодський район</c:v>
                </c:pt>
                <c:pt idx="4">
                  <c:v>Білокуракинський район</c:v>
                </c:pt>
                <c:pt idx="5">
                  <c:v>Кремінський район</c:v>
                </c:pt>
                <c:pt idx="6">
                  <c:v>Марківський район</c:v>
                </c:pt>
                <c:pt idx="7">
                  <c:v>Міловський район</c:v>
                </c:pt>
                <c:pt idx="8">
                  <c:v>Новоайдарський район</c:v>
                </c:pt>
                <c:pt idx="9">
                  <c:v>Новопсковський район</c:v>
                </c:pt>
                <c:pt idx="10">
                  <c:v>Попаснянський район</c:v>
                </c:pt>
                <c:pt idx="11">
                  <c:v>Сватівський район</c:v>
                </c:pt>
                <c:pt idx="12">
                  <c:v>Станично-Луганський район</c:v>
                </c:pt>
                <c:pt idx="13">
                  <c:v>Старобільський район</c:v>
                </c:pt>
                <c:pt idx="14">
                  <c:v>Троїцький район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913</c:v>
                </c:pt>
                <c:pt idx="1">
                  <c:v>195</c:v>
                </c:pt>
                <c:pt idx="2">
                  <c:v>471</c:v>
                </c:pt>
                <c:pt idx="3">
                  <c:v>42</c:v>
                </c:pt>
                <c:pt idx="4">
                  <c:v>47</c:v>
                </c:pt>
                <c:pt idx="5">
                  <c:v>139</c:v>
                </c:pt>
                <c:pt idx="6">
                  <c:v>14</c:v>
                </c:pt>
                <c:pt idx="7">
                  <c:v>26</c:v>
                </c:pt>
                <c:pt idx="8">
                  <c:v>134</c:v>
                </c:pt>
                <c:pt idx="9">
                  <c:v>46</c:v>
                </c:pt>
                <c:pt idx="10">
                  <c:v>222</c:v>
                </c:pt>
                <c:pt idx="11">
                  <c:v>76</c:v>
                </c:pt>
                <c:pt idx="12">
                  <c:v>94</c:v>
                </c:pt>
                <c:pt idx="13">
                  <c:v>129</c:v>
                </c:pt>
                <c:pt idx="14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F2-43FC-AA47-B66D3AE078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кв. 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Лисичанськ</c:v>
                </c:pt>
                <c:pt idx="1">
                  <c:v>Рубіжне</c:v>
                </c:pt>
                <c:pt idx="2">
                  <c:v>Сєвєродонецьк</c:v>
                </c:pt>
                <c:pt idx="3">
                  <c:v>Біловодський район</c:v>
                </c:pt>
                <c:pt idx="4">
                  <c:v>Білокуракинський район</c:v>
                </c:pt>
                <c:pt idx="5">
                  <c:v>Кремінський район</c:v>
                </c:pt>
                <c:pt idx="6">
                  <c:v>Марківський район</c:v>
                </c:pt>
                <c:pt idx="7">
                  <c:v>Міловський район</c:v>
                </c:pt>
                <c:pt idx="8">
                  <c:v>Новоайдарський район</c:v>
                </c:pt>
                <c:pt idx="9">
                  <c:v>Новопсковський район</c:v>
                </c:pt>
                <c:pt idx="10">
                  <c:v>Попаснянський район</c:v>
                </c:pt>
                <c:pt idx="11">
                  <c:v>Сватівський район</c:v>
                </c:pt>
                <c:pt idx="12">
                  <c:v>Станично-Луганський район</c:v>
                </c:pt>
                <c:pt idx="13">
                  <c:v>Старобільський район</c:v>
                </c:pt>
                <c:pt idx="14">
                  <c:v>Троїцький район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775</c:v>
                </c:pt>
                <c:pt idx="1">
                  <c:v>258</c:v>
                </c:pt>
                <c:pt idx="2">
                  <c:v>552</c:v>
                </c:pt>
                <c:pt idx="3">
                  <c:v>49</c:v>
                </c:pt>
                <c:pt idx="4">
                  <c:v>49</c:v>
                </c:pt>
                <c:pt idx="5">
                  <c:v>139</c:v>
                </c:pt>
                <c:pt idx="6">
                  <c:v>28</c:v>
                </c:pt>
                <c:pt idx="7">
                  <c:v>37</c:v>
                </c:pt>
                <c:pt idx="8">
                  <c:v>157</c:v>
                </c:pt>
                <c:pt idx="9">
                  <c:v>72</c:v>
                </c:pt>
                <c:pt idx="10">
                  <c:v>251</c:v>
                </c:pt>
                <c:pt idx="11">
                  <c:v>110</c:v>
                </c:pt>
                <c:pt idx="12">
                  <c:v>96</c:v>
                </c:pt>
                <c:pt idx="13">
                  <c:v>125</c:v>
                </c:pt>
                <c:pt idx="14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F2-43FC-AA47-B66D3AE078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7693472"/>
        <c:axId val="667695112"/>
      </c:barChart>
      <c:catAx>
        <c:axId val="66769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endParaRPr lang="uk-UA"/>
          </a:p>
        </c:txPr>
        <c:crossAx val="667695112"/>
        <c:crosses val="autoZero"/>
        <c:auto val="1"/>
        <c:lblAlgn val="ctr"/>
        <c:lblOffset val="100"/>
        <c:noMultiLvlLbl val="0"/>
      </c:catAx>
      <c:valAx>
        <c:axId val="667695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67693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>
                <a:solidFill>
                  <a:schemeClr val="accent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ТЕМАТИЧНИЙ</a:t>
            </a:r>
            <a:r>
              <a:rPr lang="uk-UA" b="1" baseline="0">
                <a:solidFill>
                  <a:schemeClr val="accent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РОЗПОДІЛ ЗВЕРНЕНЬ, НАДІСЛАНИХ НА РОЗГЛЯД</a:t>
            </a:r>
            <a:endParaRPr lang="uk-UA" b="1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Звернення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98C-4EC8-8576-C9364C2912A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98C-4EC8-8576-C9364C2912A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98C-4EC8-8576-C9364C2912A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98C-4EC8-8576-C9364C2912A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98C-4EC8-8576-C9364C2912A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798C-4EC8-8576-C9364C2912A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798C-4EC8-8576-C9364C2912A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798C-4EC8-8576-C9364C2912A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798C-4EC8-8576-C9364C2912A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798C-4EC8-8576-C9364C2912A8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798C-4EC8-8576-C9364C2912A8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798C-4EC8-8576-C9364C2912A8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5399-452C-9597-6308D33D3A06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5399-452C-9597-6308D33D3A06}"/>
              </c:ext>
            </c:extLst>
          </c:dPt>
          <c:cat>
            <c:strRef>
              <c:f>Лист1!$A$2:$A$15</c:f>
              <c:strCache>
                <c:ptCount val="14"/>
                <c:pt idx="0">
                  <c:v>Аграрна політика  </c:v>
                </c:pt>
                <c:pt idx="1">
                  <c:v>Будівництво та благоустрій</c:v>
                </c:pt>
                <c:pt idx="2">
                  <c:v>Діяльність ОВВ, ОМС, службових осіб</c:v>
                </c:pt>
                <c:pt idx="3">
                  <c:v>Діяльність підприємств</c:v>
                </c:pt>
                <c:pt idx="4">
                  <c:v>Комунальне господарство</c:v>
                </c:pt>
                <c:pt idx="5">
                  <c:v>Надзвичайні ситуації</c:v>
                </c:pt>
                <c:pt idx="6">
                  <c:v>Коронавірус</c:v>
                </c:pt>
                <c:pt idx="7">
                  <c:v>Охорона здоров'я</c:v>
                </c:pt>
                <c:pt idx="8">
                  <c:v>Соціальний захист </c:v>
                </c:pt>
                <c:pt idx="9">
                  <c:v>Культура</c:v>
                </c:pt>
                <c:pt idx="10">
                  <c:v>Оплата праці</c:v>
                </c:pt>
                <c:pt idx="11">
                  <c:v>Освіта </c:v>
                </c:pt>
                <c:pt idx="12">
                  <c:v>Інші питання</c:v>
                </c:pt>
                <c:pt idx="13">
                  <c:v>Транспортне обслуговування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57</c:v>
                </c:pt>
                <c:pt idx="1">
                  <c:v>260</c:v>
                </c:pt>
                <c:pt idx="2">
                  <c:v>121</c:v>
                </c:pt>
                <c:pt idx="3">
                  <c:v>42</c:v>
                </c:pt>
                <c:pt idx="4">
                  <c:v>783</c:v>
                </c:pt>
                <c:pt idx="5">
                  <c:v>66</c:v>
                </c:pt>
                <c:pt idx="6">
                  <c:v>45</c:v>
                </c:pt>
                <c:pt idx="7">
                  <c:v>197</c:v>
                </c:pt>
                <c:pt idx="8">
                  <c:v>775</c:v>
                </c:pt>
                <c:pt idx="9">
                  <c:v>85</c:v>
                </c:pt>
                <c:pt idx="10">
                  <c:v>39</c:v>
                </c:pt>
                <c:pt idx="11">
                  <c:v>76</c:v>
                </c:pt>
                <c:pt idx="12">
                  <c:v>261</c:v>
                </c:pt>
                <c:pt idx="13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56-4EC4-9775-AE785E47DE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1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gradFill>
        <a:gsLst>
          <a:gs pos="2900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B6E8E-9044-438B-8B20-0DC7856B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8</cp:revision>
  <dcterms:created xsi:type="dcterms:W3CDTF">2021-02-12T09:18:00Z</dcterms:created>
  <dcterms:modified xsi:type="dcterms:W3CDTF">2021-02-12T12:49:00Z</dcterms:modified>
</cp:coreProperties>
</file>