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9" w:rsidRDefault="006A7B19" w:rsidP="006A7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операції та зобов’язання комунального підприємства з державним та/або місцевим бюджетом, державними та/або місцевими установами, підприємствами та організаціями, включаючи договірні зобов’язання комунального підприємства (фінансові та нефінансові), що виникають у результаті державно-приватного партнерства.</w:t>
      </w:r>
    </w:p>
    <w:p w:rsidR="00F062A3" w:rsidRDefault="00F062A3" w:rsidP="0066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49E" w:rsidRPr="006648A1" w:rsidRDefault="006648A1" w:rsidP="0066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 w:rsidRPr="006648A1">
        <w:rPr>
          <w:rFonts w:ascii="Times New Roman" w:hAnsi="Times New Roman" w:cs="Times New Roman"/>
          <w:sz w:val="28"/>
          <w:szCs w:val="28"/>
        </w:rPr>
        <w:t xml:space="preserve"> «Інноваційно-інформаційний центр» щорічно, вчасно та в повному</w:t>
      </w:r>
      <w:r>
        <w:rPr>
          <w:rFonts w:ascii="Times New Roman" w:hAnsi="Times New Roman" w:cs="Times New Roman"/>
          <w:sz w:val="28"/>
          <w:szCs w:val="28"/>
        </w:rPr>
        <w:t xml:space="preserve"> обсязі виконує зобов’язання по сплаті місцевому бюджету частини чистого прибутку у відповідності до результатів роботи підприємства, податок на прибуток, земельний податок. Перед державним бюджетом вчасно та в повному обсязі виконує зобов’язання по сплаті ПДВ. Також підприємство сплачує податки з заробітної плати (єдиний соціальний внесок, податок з доходів фізичних осіб та військовий збір).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Протермінованих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заборгованостей підприємство немає. </w:t>
      </w:r>
    </w:p>
    <w:sectPr w:rsidR="00A4749E" w:rsidRPr="0066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C"/>
    <w:rsid w:val="0029424E"/>
    <w:rsid w:val="006648A1"/>
    <w:rsid w:val="006A7B19"/>
    <w:rsid w:val="00A4749E"/>
    <w:rsid w:val="00DF095C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4</cp:revision>
  <dcterms:created xsi:type="dcterms:W3CDTF">2018-09-26T12:38:00Z</dcterms:created>
  <dcterms:modified xsi:type="dcterms:W3CDTF">2018-09-27T11:48:00Z</dcterms:modified>
</cp:coreProperties>
</file>