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67" w:rsidRDefault="00AB3D67" w:rsidP="00AB3D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Міненерго </w:t>
      </w:r>
      <w:r w:rsidR="002129E4">
        <w:rPr>
          <w:rFonts w:ascii="Times New Roman" w:hAnsi="Times New Roman" w:cs="Times New Roman"/>
          <w:b/>
          <w:sz w:val="28"/>
          <w:szCs w:val="28"/>
          <w:lang w:val="uk-UA"/>
        </w:rPr>
        <w:t>презент</w:t>
      </w:r>
      <w:r w:rsidR="00872F02">
        <w:rPr>
          <w:rFonts w:ascii="Times New Roman" w:hAnsi="Times New Roman" w:cs="Times New Roman"/>
          <w:b/>
          <w:sz w:val="28"/>
          <w:szCs w:val="28"/>
          <w:lang w:val="uk-UA"/>
        </w:rPr>
        <w:t>ували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законодавчі </w:t>
      </w:r>
      <w:r w:rsidR="002129E4">
        <w:rPr>
          <w:rFonts w:ascii="Times New Roman" w:hAnsi="Times New Roman" w:cs="Times New Roman"/>
          <w:b/>
          <w:sz w:val="28"/>
          <w:szCs w:val="28"/>
          <w:lang w:val="uk-UA"/>
        </w:rPr>
        <w:t>ініціативи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енерго</w:t>
      </w:r>
      <w:r w:rsidR="00A41AD0">
        <w:rPr>
          <w:rFonts w:ascii="Times New Roman" w:hAnsi="Times New Roman" w:cs="Times New Roman"/>
          <w:b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залежності </w:t>
      </w:r>
      <w:r w:rsidR="00303F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="00D36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розвитку </w:t>
      </w:r>
      <w:proofErr w:type="spellStart"/>
      <w:r w:rsidR="008E7367">
        <w:rPr>
          <w:rFonts w:ascii="Times New Roman" w:hAnsi="Times New Roman" w:cs="Times New Roman"/>
          <w:b/>
          <w:sz w:val="28"/>
          <w:szCs w:val="28"/>
          <w:lang w:val="uk-UA"/>
        </w:rPr>
        <w:t>енергоефективної</w:t>
      </w:r>
      <w:proofErr w:type="spellEnd"/>
      <w:r w:rsidR="008E73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економіки</w:t>
      </w:r>
      <w:r w:rsidR="003A57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B3D67" w:rsidRDefault="00AB3D67" w:rsidP="00AB3D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0A62" w:rsidRDefault="00D20A62" w:rsidP="00CC7B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1920425"/>
            <wp:effectExtent l="19050" t="0" r="0" b="0"/>
            <wp:docPr id="1" name="Рисунок 0" descr="1 VIP_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VIP_054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960" cy="192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714" cy="1914525"/>
            <wp:effectExtent l="19050" t="0" r="8836" b="0"/>
            <wp:docPr id="2" name="Рисунок 1" descr="3 VIP_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VIP_06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9498" cy="191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A62" w:rsidRDefault="00D20A62" w:rsidP="00CC7B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BE6" w:rsidRDefault="00CC7BE6" w:rsidP="00CC7B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Курс України на декарбонізацію та сталий розвиток, а також </w:t>
      </w:r>
      <w:r w:rsidR="00EF6099">
        <w:rPr>
          <w:rFonts w:ascii="Times New Roman" w:hAnsi="Times New Roman" w:cs="Times New Roman"/>
          <w:sz w:val="28"/>
          <w:szCs w:val="28"/>
          <w:lang w:val="uk-UA"/>
        </w:rPr>
        <w:t>нові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законодавчі кроки</w:t>
      </w:r>
      <w:r w:rsidR="00A60B7B">
        <w:rPr>
          <w:rFonts w:ascii="Times New Roman" w:hAnsi="Times New Roman" w:cs="Times New Roman"/>
          <w:sz w:val="28"/>
          <w:szCs w:val="28"/>
          <w:lang w:val="uk-UA"/>
        </w:rPr>
        <w:t xml:space="preserve"> – усе це презентували Міненерго та </w:t>
      </w:r>
      <w:proofErr w:type="spellStart"/>
      <w:r w:rsidR="00A60B7B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A60B7B">
        <w:rPr>
          <w:rFonts w:ascii="Times New Roman" w:hAnsi="Times New Roman" w:cs="Times New Roman"/>
          <w:sz w:val="28"/>
          <w:szCs w:val="28"/>
          <w:lang w:val="uk-UA"/>
        </w:rPr>
        <w:t xml:space="preserve"> для понад 900 учасник</w:t>
      </w:r>
      <w:r w:rsidR="00303FF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A60B7B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 </w:t>
      </w:r>
      <w:proofErr w:type="spellStart"/>
      <w:r w:rsidR="00A60B7B" w:rsidRPr="008E7367">
        <w:rPr>
          <w:rFonts w:ascii="Times New Roman" w:hAnsi="Times New Roman" w:cs="Times New Roman"/>
          <w:sz w:val="28"/>
          <w:szCs w:val="28"/>
          <w:lang w:val="uk-UA"/>
        </w:rPr>
        <w:t>онлайн-форум</w:t>
      </w:r>
      <w:r w:rsidR="00A60B7B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A60B7B" w:rsidRPr="008E7367">
        <w:rPr>
          <w:rFonts w:ascii="Times New Roman" w:hAnsi="Times New Roman" w:cs="Times New Roman"/>
          <w:sz w:val="28"/>
          <w:szCs w:val="28"/>
          <w:lang w:val="uk-UA"/>
        </w:rPr>
        <w:t xml:space="preserve"> «Енергонезалежні регіони України</w:t>
      </w:r>
      <w:r w:rsidR="00303FF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03FFB" w:rsidRPr="008E7367">
        <w:rPr>
          <w:rFonts w:ascii="Times New Roman" w:hAnsi="Times New Roman" w:cs="Times New Roman"/>
          <w:sz w:val="28"/>
          <w:szCs w:val="28"/>
          <w:lang w:val="uk-UA"/>
        </w:rPr>
        <w:t>як замістити газ, знайти ін</w:t>
      </w:r>
      <w:r w:rsidR="00D468D1">
        <w:rPr>
          <w:rFonts w:ascii="Times New Roman" w:hAnsi="Times New Roman" w:cs="Times New Roman"/>
          <w:sz w:val="28"/>
          <w:szCs w:val="28"/>
          <w:lang w:val="uk-UA"/>
        </w:rPr>
        <w:t>вест</w:t>
      </w:r>
      <w:r w:rsidR="00B435B8">
        <w:rPr>
          <w:rFonts w:ascii="Times New Roman" w:hAnsi="Times New Roman" w:cs="Times New Roman"/>
          <w:sz w:val="28"/>
          <w:szCs w:val="28"/>
          <w:lang w:val="uk-UA"/>
        </w:rPr>
        <w:t>иції та стимулювати бізнес», який</w:t>
      </w:r>
      <w:r w:rsidR="00D468D1">
        <w:rPr>
          <w:rFonts w:ascii="Times New Roman" w:hAnsi="Times New Roman" w:cs="Times New Roman"/>
          <w:sz w:val="28"/>
          <w:szCs w:val="28"/>
          <w:lang w:val="uk-UA"/>
        </w:rPr>
        <w:t xml:space="preserve"> було ініційовано та проведено 24 листопада.</w:t>
      </w:r>
    </w:p>
    <w:p w:rsidR="00A60B7B" w:rsidRDefault="00A60B7B" w:rsidP="00CC7B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B7B" w:rsidRDefault="00A60B7B" w:rsidP="00CC7B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своєму виступі Перший заступник Міністра енергетики України Ольга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Буславець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наголосила на тому, що Україна, як і весь прогресивний світ, рухається у напрямку «зеленого» переходу та декарбонізації. Тому особливу пріоритетність мають енергоефективність та «чиста» енергетика. </w:t>
      </w:r>
    </w:p>
    <w:p w:rsidR="00A60B7B" w:rsidRDefault="00A60B7B" w:rsidP="00CC7B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B7B" w:rsidRDefault="00A60B7B" w:rsidP="00CC7B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цьому, формування та реалізація політики здійсню</w:t>
      </w:r>
      <w:r w:rsidR="00303FFB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ться із дотриманням </w:t>
      </w:r>
      <w:r w:rsidRPr="00A60B7B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міжнародних зобов’язань </w:t>
      </w:r>
      <w:r w:rsidR="00303FF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60B7B">
        <w:rPr>
          <w:rFonts w:ascii="Times New Roman" w:hAnsi="Times New Roman" w:cs="Times New Roman"/>
          <w:sz w:val="28"/>
          <w:szCs w:val="28"/>
          <w:lang w:val="uk-UA"/>
        </w:rPr>
        <w:t xml:space="preserve"> принципів Європейського зеленого курсу.</w:t>
      </w:r>
    </w:p>
    <w:p w:rsidR="00303FFB" w:rsidRDefault="00303FFB" w:rsidP="00CC7BE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B7B" w:rsidRPr="00A60B7B" w:rsidRDefault="00A60B7B" w:rsidP="00A60B7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B7B">
        <w:rPr>
          <w:rFonts w:ascii="Times New Roman" w:hAnsi="Times New Roman" w:cs="Times New Roman"/>
          <w:sz w:val="28"/>
          <w:szCs w:val="28"/>
          <w:lang w:val="uk-UA"/>
        </w:rPr>
        <w:t xml:space="preserve">Тож, Міненерго та </w:t>
      </w:r>
      <w:proofErr w:type="spellStart"/>
      <w:r w:rsidRPr="00A60B7B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A60B7B">
        <w:rPr>
          <w:rFonts w:ascii="Times New Roman" w:hAnsi="Times New Roman" w:cs="Times New Roman"/>
          <w:sz w:val="28"/>
          <w:szCs w:val="28"/>
          <w:lang w:val="uk-UA"/>
        </w:rPr>
        <w:t xml:space="preserve"> активізувало роботу над законодавчою базою та створенням дієвих інструментів у сфері енергоефективності.</w:t>
      </w:r>
    </w:p>
    <w:p w:rsidR="00A60B7B" w:rsidRPr="00A60B7B" w:rsidRDefault="00A60B7B" w:rsidP="00A60B7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B7B" w:rsidRPr="00A60B7B" w:rsidRDefault="00A60B7B" w:rsidP="00A60B7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60B7B">
        <w:rPr>
          <w:rFonts w:ascii="Times New Roman" w:hAnsi="Times New Roman" w:cs="Times New Roman"/>
          <w:sz w:val="28"/>
          <w:szCs w:val="28"/>
          <w:lang w:val="uk-UA"/>
        </w:rPr>
        <w:t xml:space="preserve">«Ціль - </w:t>
      </w:r>
      <w:r w:rsidRPr="00A60B7B">
        <w:rPr>
          <w:rFonts w:ascii="Times New Roman" w:hAnsi="Times New Roman"/>
          <w:sz w:val="28"/>
          <w:szCs w:val="28"/>
          <w:lang w:val="uk-UA"/>
        </w:rPr>
        <w:t xml:space="preserve">забезпечити крос-секторальний розвиток енергоефективності, яка повинна включати не тільки житлову сферу, як раніше, але й інші сектори економіки: промисловість, транспорт, бюджетну сферу, енергетику. Саме таким чином можна досягти результату – врешті-решт зменшити високий рівень енергоємності української економіки (у 2 рази вищий, ніж в середньому у світі)», - повідомив під час виступу Костянтин </w:t>
      </w:r>
      <w:proofErr w:type="spellStart"/>
      <w:r w:rsidRPr="00A60B7B">
        <w:rPr>
          <w:rFonts w:ascii="Times New Roman" w:hAnsi="Times New Roman"/>
          <w:sz w:val="28"/>
          <w:szCs w:val="28"/>
          <w:lang w:val="uk-UA"/>
        </w:rPr>
        <w:t>Гура</w:t>
      </w:r>
      <w:proofErr w:type="spellEnd"/>
      <w:r w:rsidRPr="00A60B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60B7B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Pr="00A60B7B">
        <w:rPr>
          <w:rFonts w:ascii="Times New Roman" w:hAnsi="Times New Roman"/>
          <w:sz w:val="28"/>
          <w:szCs w:val="28"/>
          <w:lang w:val="uk-UA"/>
        </w:rPr>
        <w:t xml:space="preserve">. Голови </w:t>
      </w:r>
      <w:proofErr w:type="spellStart"/>
      <w:r w:rsidRPr="00A60B7B">
        <w:rPr>
          <w:rFonts w:ascii="Times New Roman" w:hAnsi="Times New Roman"/>
          <w:sz w:val="28"/>
          <w:szCs w:val="28"/>
          <w:lang w:val="uk-UA"/>
        </w:rPr>
        <w:t>Держенергоефективності</w:t>
      </w:r>
      <w:proofErr w:type="spellEnd"/>
      <w:r w:rsidRPr="00A60B7B">
        <w:rPr>
          <w:rFonts w:ascii="Times New Roman" w:hAnsi="Times New Roman"/>
          <w:sz w:val="28"/>
          <w:szCs w:val="28"/>
          <w:lang w:val="uk-UA"/>
        </w:rPr>
        <w:t>.</w:t>
      </w:r>
    </w:p>
    <w:p w:rsidR="00A60B7B" w:rsidRPr="00A60B7B" w:rsidRDefault="00A60B7B" w:rsidP="00A60B7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0B7B" w:rsidRDefault="00A60B7B" w:rsidP="00A60B7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60B7B">
        <w:rPr>
          <w:rFonts w:ascii="Times New Roman" w:hAnsi="Times New Roman"/>
          <w:sz w:val="28"/>
          <w:szCs w:val="28"/>
          <w:lang w:val="uk-UA"/>
        </w:rPr>
        <w:t xml:space="preserve">Як пояснив Костянтин </w:t>
      </w:r>
      <w:proofErr w:type="spellStart"/>
      <w:r w:rsidRPr="00A60B7B">
        <w:rPr>
          <w:rFonts w:ascii="Times New Roman" w:hAnsi="Times New Roman"/>
          <w:sz w:val="28"/>
          <w:szCs w:val="28"/>
          <w:lang w:val="uk-UA"/>
        </w:rPr>
        <w:t>Гура</w:t>
      </w:r>
      <w:proofErr w:type="spellEnd"/>
      <w:r w:rsidRPr="00A60B7B">
        <w:rPr>
          <w:rFonts w:ascii="Times New Roman" w:hAnsi="Times New Roman"/>
          <w:sz w:val="28"/>
          <w:szCs w:val="28"/>
          <w:lang w:val="uk-UA"/>
        </w:rPr>
        <w:t xml:space="preserve">, з огляду </w:t>
      </w:r>
      <w:r w:rsidR="00303FF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A60B7B">
        <w:rPr>
          <w:rFonts w:ascii="Times New Roman" w:hAnsi="Times New Roman"/>
          <w:sz w:val="28"/>
          <w:szCs w:val="28"/>
          <w:lang w:val="uk-UA"/>
        </w:rPr>
        <w:t xml:space="preserve">нагальність реформ спільно з Міненерго проведено роботу щодо реорганізації </w:t>
      </w:r>
      <w:proofErr w:type="spellStart"/>
      <w:r w:rsidRPr="00A60B7B">
        <w:rPr>
          <w:rFonts w:ascii="Times New Roman" w:hAnsi="Times New Roman"/>
          <w:sz w:val="28"/>
          <w:szCs w:val="28"/>
          <w:lang w:val="uk-UA"/>
        </w:rPr>
        <w:t>Держенергоефективності</w:t>
      </w:r>
      <w:proofErr w:type="spellEnd"/>
      <w:r w:rsidRPr="00A60B7B">
        <w:rPr>
          <w:rFonts w:ascii="Times New Roman" w:hAnsi="Times New Roman"/>
          <w:sz w:val="28"/>
          <w:szCs w:val="28"/>
          <w:lang w:val="uk-UA"/>
        </w:rPr>
        <w:t xml:space="preserve"> у ключовий крос-секторальний орган, відповідальний за реалізацію політики «зеленого» переходу та</w:t>
      </w:r>
      <w:r>
        <w:rPr>
          <w:rFonts w:ascii="Times New Roman" w:hAnsi="Times New Roman"/>
          <w:sz w:val="28"/>
          <w:szCs w:val="28"/>
          <w:lang w:val="uk-UA"/>
        </w:rPr>
        <w:t xml:space="preserve"> сталого розвитку України.</w:t>
      </w:r>
    </w:p>
    <w:p w:rsidR="00A60B7B" w:rsidRDefault="00A60B7B" w:rsidP="00A60B7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0B7B" w:rsidRDefault="00A60B7B" w:rsidP="00A60B7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Серед ключових напрацювань Міненерго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60B7B" w:rsidRDefault="00A60B7B" w:rsidP="00A60B7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0B7B" w:rsidRPr="00DC4328" w:rsidRDefault="00A60B7B" w:rsidP="00A60B7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Фіналізовано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базовий довгоочікуваний </w:t>
      </w:r>
      <w:r w:rsidRPr="00824726">
        <w:rPr>
          <w:rFonts w:ascii="Times New Roman" w:hAnsi="Times New Roman" w:cs="Times New Roman"/>
          <w:b/>
          <w:sz w:val="28"/>
          <w:szCs w:val="28"/>
          <w:lang w:val="uk-UA"/>
        </w:rPr>
        <w:t>законопроект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 енергетичну ефективність»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0B7B" w:rsidRDefault="00A60B7B" w:rsidP="00A60B7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B7B" w:rsidRDefault="00A60B7B" w:rsidP="00A60B7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концепцію нової Д</w:t>
      </w:r>
      <w:r w:rsidRPr="00824726">
        <w:rPr>
          <w:rFonts w:ascii="Times New Roman" w:hAnsi="Times New Roman" w:cs="Times New Roman"/>
          <w:b/>
          <w:sz w:val="28"/>
          <w:szCs w:val="28"/>
          <w:lang w:val="uk-UA"/>
        </w:rPr>
        <w:t>ержавної цільової програми енергоефективності на 2022-2026 рр.,</w:t>
      </w:r>
      <w:r w:rsidRPr="00AD2470">
        <w:rPr>
          <w:rFonts w:ascii="Times New Roman" w:hAnsi="Times New Roman" w:cs="Times New Roman"/>
          <w:sz w:val="28"/>
          <w:szCs w:val="28"/>
          <w:lang w:val="uk-UA"/>
        </w:rPr>
        <w:t xml:space="preserve"> яка передбачатиме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державну підтримку </w:t>
      </w:r>
      <w:proofErr w:type="spellStart"/>
      <w:r w:rsidRPr="00AD2470">
        <w:rPr>
          <w:rFonts w:ascii="Times New Roman" w:hAnsi="Times New Roman" w:cs="Times New Roman"/>
          <w:sz w:val="28"/>
          <w:szCs w:val="28"/>
          <w:lang w:val="uk-UA"/>
        </w:rPr>
        <w:t>енергоефективних</w:t>
      </w:r>
      <w:proofErr w:type="spellEnd"/>
      <w:r w:rsidRPr="00AD2470">
        <w:rPr>
          <w:rFonts w:ascii="Times New Roman" w:hAnsi="Times New Roman" w:cs="Times New Roman"/>
          <w:sz w:val="28"/>
          <w:szCs w:val="28"/>
          <w:lang w:val="uk-UA"/>
        </w:rPr>
        <w:t xml:space="preserve">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лише </w:t>
      </w:r>
      <w:r w:rsidRPr="00AD2470">
        <w:rPr>
          <w:rFonts w:ascii="Times New Roman" w:hAnsi="Times New Roman" w:cs="Times New Roman"/>
          <w:sz w:val="28"/>
          <w:szCs w:val="28"/>
          <w:lang w:val="uk-UA"/>
        </w:rPr>
        <w:t xml:space="preserve">в житловому секторі,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й в </w:t>
      </w:r>
      <w:r w:rsidRPr="00AD2470">
        <w:rPr>
          <w:rFonts w:ascii="Times New Roman" w:hAnsi="Times New Roman" w:cs="Times New Roman"/>
          <w:sz w:val="28"/>
          <w:szCs w:val="28"/>
          <w:lang w:val="uk-UA"/>
        </w:rPr>
        <w:t>секторі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установ, промисловості та транспорті.</w:t>
      </w:r>
    </w:p>
    <w:p w:rsidR="00A60B7B" w:rsidRDefault="00A60B7B" w:rsidP="00A60B7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B7B" w:rsidRDefault="00A60B7B" w:rsidP="00A60B7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FFB">
        <w:rPr>
          <w:rFonts w:ascii="Times New Roman" w:hAnsi="Times New Roman" w:cs="Times New Roman"/>
          <w:sz w:val="28"/>
          <w:szCs w:val="28"/>
          <w:lang w:val="uk-UA"/>
        </w:rPr>
        <w:t xml:space="preserve">Ініційовано </w:t>
      </w:r>
      <w:r w:rsidRPr="00303FFB">
        <w:rPr>
          <w:rFonts w:ascii="Times New Roman" w:hAnsi="Times New Roman" w:cs="Times New Roman"/>
          <w:b/>
          <w:sz w:val="28"/>
          <w:szCs w:val="28"/>
          <w:lang w:val="uk-UA"/>
        </w:rPr>
        <w:t>створення Фонду декарбонізації</w:t>
      </w:r>
      <w:r w:rsidRPr="00303FFB">
        <w:rPr>
          <w:rFonts w:ascii="Times New Roman" w:hAnsi="Times New Roman" w:cs="Times New Roman"/>
          <w:sz w:val="28"/>
          <w:szCs w:val="28"/>
          <w:lang w:val="uk-UA"/>
        </w:rPr>
        <w:t xml:space="preserve"> - механізму залучення внесків від сплати податку на викиди СО</w:t>
      </w:r>
      <w:r w:rsidRPr="00E1770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03FFB">
        <w:rPr>
          <w:rFonts w:ascii="Times New Roman" w:hAnsi="Times New Roman" w:cs="Times New Roman"/>
          <w:sz w:val="28"/>
          <w:szCs w:val="28"/>
          <w:lang w:val="uk-UA"/>
        </w:rPr>
        <w:t xml:space="preserve"> для цільового використання коштів саме на </w:t>
      </w:r>
      <w:proofErr w:type="spellStart"/>
      <w:r w:rsidRPr="00303FFB">
        <w:rPr>
          <w:rFonts w:ascii="Times New Roman" w:hAnsi="Times New Roman" w:cs="Times New Roman"/>
          <w:sz w:val="28"/>
          <w:szCs w:val="28"/>
          <w:lang w:val="uk-UA"/>
        </w:rPr>
        <w:t>енергоефективні</w:t>
      </w:r>
      <w:proofErr w:type="spellEnd"/>
      <w:r w:rsidRPr="00303FFB">
        <w:rPr>
          <w:rFonts w:ascii="Times New Roman" w:hAnsi="Times New Roman" w:cs="Times New Roman"/>
          <w:sz w:val="28"/>
          <w:szCs w:val="28"/>
          <w:lang w:val="uk-UA"/>
        </w:rPr>
        <w:t xml:space="preserve"> заходи та </w:t>
      </w:r>
      <w:proofErr w:type="spellStart"/>
      <w:r w:rsidRPr="00303FF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03FFB" w:rsidRPr="00303FF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03FFB">
        <w:rPr>
          <w:rFonts w:ascii="Times New Roman" w:hAnsi="Times New Roman" w:cs="Times New Roman"/>
          <w:sz w:val="28"/>
          <w:szCs w:val="28"/>
          <w:lang w:val="uk-UA"/>
        </w:rPr>
        <w:t>кти</w:t>
      </w:r>
      <w:proofErr w:type="spellEnd"/>
      <w:r w:rsidRPr="00303FFB">
        <w:rPr>
          <w:rFonts w:ascii="Times New Roman" w:hAnsi="Times New Roman" w:cs="Times New Roman"/>
          <w:sz w:val="28"/>
          <w:szCs w:val="28"/>
          <w:lang w:val="uk-UA"/>
        </w:rPr>
        <w:t xml:space="preserve"> з декарбонізації. </w:t>
      </w:r>
    </w:p>
    <w:p w:rsidR="00303FFB" w:rsidRDefault="00303FFB" w:rsidP="00A60B7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0B7B" w:rsidRDefault="00A60B7B" w:rsidP="00A60B7B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Фонд дозволить створити гарантоване джерело фінансування у розмірі </w:t>
      </w:r>
      <w:r w:rsidRPr="00810773">
        <w:rPr>
          <w:rFonts w:ascii="Times New Roman" w:hAnsi="Times New Roman"/>
          <w:b/>
          <w:sz w:val="28"/>
          <w:szCs w:val="28"/>
          <w:lang w:val="uk-UA"/>
        </w:rPr>
        <w:t xml:space="preserve">1,35 </w:t>
      </w:r>
      <w:proofErr w:type="spellStart"/>
      <w:r w:rsidRPr="00810773">
        <w:rPr>
          <w:rFonts w:ascii="Times New Roman" w:hAnsi="Times New Roman"/>
          <w:b/>
          <w:sz w:val="28"/>
          <w:szCs w:val="28"/>
          <w:lang w:val="uk-UA"/>
        </w:rPr>
        <w:t>млрд</w:t>
      </w:r>
      <w:proofErr w:type="spellEnd"/>
      <w:r w:rsidRPr="0081077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10773">
        <w:rPr>
          <w:rFonts w:ascii="Times New Roman" w:hAnsi="Times New Roman"/>
          <w:b/>
          <w:sz w:val="28"/>
          <w:szCs w:val="28"/>
          <w:lang w:val="uk-UA"/>
        </w:rPr>
        <w:t>грн</w:t>
      </w:r>
      <w:proofErr w:type="spellEnd"/>
      <w:r w:rsidRPr="00810773">
        <w:rPr>
          <w:rFonts w:ascii="Times New Roman" w:hAnsi="Times New Roman"/>
          <w:b/>
          <w:sz w:val="28"/>
          <w:szCs w:val="28"/>
          <w:lang w:val="uk-UA"/>
        </w:rPr>
        <w:t xml:space="preserve"> у рік</w:t>
      </w:r>
      <w:r>
        <w:rPr>
          <w:rFonts w:ascii="Times New Roman" w:hAnsi="Times New Roman"/>
          <w:sz w:val="28"/>
          <w:szCs w:val="28"/>
          <w:lang w:val="uk-UA"/>
        </w:rPr>
        <w:t xml:space="preserve"> із держбюджету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енергоефективні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цілі.</w:t>
      </w:r>
    </w:p>
    <w:p w:rsidR="00A60B7B" w:rsidRDefault="00A60B7B" w:rsidP="00A60B7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B7B" w:rsidRDefault="00A60B7B" w:rsidP="00A60B7B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Завдяки запуску Фонду очікується </w:t>
      </w:r>
      <w:r w:rsidRPr="001770AA">
        <w:rPr>
          <w:rFonts w:ascii="Times New Roman" w:hAnsi="Times New Roman" w:cs="Times New Roman"/>
          <w:sz w:val="28"/>
          <w:szCs w:val="28"/>
          <w:lang w:val="uk-UA"/>
        </w:rPr>
        <w:t xml:space="preserve">додатковий ефект надходжень до загального фонду державного бюджету на рівні </w:t>
      </w:r>
      <w:r w:rsidRPr="008107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понад 1 </w:t>
      </w:r>
      <w:proofErr w:type="spellStart"/>
      <w:r w:rsidRPr="00810773">
        <w:rPr>
          <w:rFonts w:ascii="Times New Roman" w:hAnsi="Times New Roman" w:cs="Times New Roman"/>
          <w:b/>
          <w:sz w:val="28"/>
          <w:szCs w:val="28"/>
          <w:lang w:val="uk-UA"/>
        </w:rPr>
        <w:t>млрд</w:t>
      </w:r>
      <w:proofErr w:type="spellEnd"/>
      <w:r w:rsidRPr="008107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10773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proofErr w:type="spellEnd"/>
      <w:r w:rsidRPr="008107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щорічно.</w:t>
      </w:r>
    </w:p>
    <w:p w:rsidR="00A60B7B" w:rsidRPr="001770AA" w:rsidRDefault="00A60B7B" w:rsidP="00A60B7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B7B" w:rsidRDefault="00A60B7B" w:rsidP="00A60B7B">
      <w:pPr>
        <w:pStyle w:val="a3"/>
        <w:numPr>
          <w:ilvl w:val="0"/>
          <w:numId w:val="11"/>
        </w:numPr>
        <w:jc w:val="both"/>
        <w:rPr>
          <w:rStyle w:val="Hyperlink0"/>
          <w:rFonts w:eastAsia="Arial Unicode MS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Напрацьовано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законопроєкти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Pr="00824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відновлення </w:t>
      </w:r>
      <w:proofErr w:type="spellStart"/>
      <w:r w:rsidRPr="00824726">
        <w:rPr>
          <w:rFonts w:ascii="Times New Roman" w:hAnsi="Times New Roman" w:cs="Times New Roman"/>
          <w:b/>
          <w:sz w:val="28"/>
          <w:szCs w:val="28"/>
          <w:lang w:val="uk-UA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бюджетній сфері та його розширення на</w:t>
      </w:r>
      <w:r w:rsidR="00F41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Style w:val="Hyperlink0"/>
          <w:rFonts w:eastAsia="Arial Unicode MS"/>
          <w:lang w:val="uk-UA"/>
        </w:rPr>
        <w:t>комунальну сферу і енергетику.</w:t>
      </w:r>
    </w:p>
    <w:p w:rsidR="00F90DC8" w:rsidRDefault="00F90DC8" w:rsidP="00F90DC8">
      <w:pPr>
        <w:pStyle w:val="a3"/>
        <w:ind w:left="720"/>
        <w:jc w:val="both"/>
        <w:rPr>
          <w:rStyle w:val="Hyperlink0"/>
          <w:rFonts w:eastAsia="Arial Unicode MS"/>
          <w:lang w:val="uk-UA"/>
        </w:rPr>
      </w:pPr>
    </w:p>
    <w:p w:rsidR="00F90DC8" w:rsidRDefault="00F90DC8" w:rsidP="00F90DC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та </w:t>
      </w:r>
      <w:r w:rsidRPr="00AD2470">
        <w:rPr>
          <w:rFonts w:ascii="Times New Roman" w:hAnsi="Times New Roman" w:cs="Times New Roman"/>
          <w:sz w:val="28"/>
          <w:szCs w:val="28"/>
          <w:lang w:val="uk-UA"/>
        </w:rPr>
        <w:t xml:space="preserve">очікується внесення на розгляд Уряду </w:t>
      </w:r>
      <w:r w:rsidRPr="008247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Національного плану дій з енергоефективності на період до 2030 року </w:t>
      </w:r>
      <w:r w:rsidRPr="00AD2470">
        <w:rPr>
          <w:rFonts w:ascii="Times New Roman" w:hAnsi="Times New Roman" w:cs="Times New Roman"/>
          <w:sz w:val="28"/>
          <w:szCs w:val="28"/>
          <w:lang w:val="uk-UA"/>
        </w:rPr>
        <w:t>із встановленням відповідних амбітних національн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их кінцевих та проміжних цілей.</w:t>
      </w:r>
    </w:p>
    <w:p w:rsidR="00F90DC8" w:rsidRDefault="00F90DC8" w:rsidP="00F90DC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DC8" w:rsidRDefault="00F90DC8" w:rsidP="00F90DC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Продовжено на 2021 рік </w:t>
      </w:r>
      <w:r w:rsidRPr="00810773">
        <w:rPr>
          <w:rFonts w:ascii="Times New Roman" w:hAnsi="Times New Roman" w:cs="Times New Roman"/>
          <w:b/>
          <w:sz w:val="28"/>
          <w:szCs w:val="28"/>
          <w:lang w:val="uk-UA"/>
        </w:rPr>
        <w:t>програму «теплих кредитів»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власників індивідуальних будинків. Перелік обладнання, на яке можна залучати «теплі кредити», розширено і доповнено системами накопичення енергії, інтелектуальними лічильниками електроенергії,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електрозарядками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авто.</w:t>
      </w:r>
    </w:p>
    <w:p w:rsidR="00303FFB" w:rsidRDefault="00303FFB" w:rsidP="00303FFB">
      <w:pPr>
        <w:pStyle w:val="a3"/>
        <w:jc w:val="both"/>
        <w:rPr>
          <w:rStyle w:val="Hyperlink0"/>
          <w:rFonts w:eastAsia="Arial Unicode MS"/>
          <w:lang w:val="uk-UA"/>
        </w:rPr>
      </w:pPr>
    </w:p>
    <w:p w:rsidR="00A60B7B" w:rsidRDefault="00A60B7B" w:rsidP="00A60B7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Прийнято закон та п</w:t>
      </w:r>
      <w:r w:rsidRPr="00810773">
        <w:rPr>
          <w:rFonts w:ascii="Times New Roman" w:hAnsi="Times New Roman" w:cs="Times New Roman"/>
          <w:sz w:val="28"/>
          <w:szCs w:val="28"/>
          <w:lang w:val="uk-UA"/>
        </w:rPr>
        <w:t xml:space="preserve">ідготовлено </w:t>
      </w:r>
      <w:r w:rsidRPr="008107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концепцію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107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 заходів для запровадження ринку зелених облігацій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EB388E">
        <w:rPr>
          <w:rFonts w:ascii="Times New Roman" w:hAnsi="Times New Roman" w:cs="Times New Roman"/>
          <w:sz w:val="28"/>
          <w:szCs w:val="28"/>
          <w:lang w:val="uk-UA"/>
        </w:rPr>
        <w:t>Це новий для країни вид цінних паперів, що дозволить залучати фінансуванн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в масштабні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екологічного спрямування. Потенціал цього ринку в Україні оцінюється у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36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млрд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доларів до 2030 року.</w:t>
      </w:r>
    </w:p>
    <w:p w:rsidR="00A60B7B" w:rsidRDefault="00A60B7B" w:rsidP="00A60B7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B7B" w:rsidRPr="00810773" w:rsidRDefault="00A60B7B" w:rsidP="00A60B7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Ведеться розробка дорожньої карти розвитку водневої енергетики в Україні. Це перспективний інструмент для декарбонізації </w:t>
      </w:r>
      <w:r w:rsidRPr="00A11B28">
        <w:rPr>
          <w:rFonts w:ascii="Times New Roman" w:hAnsi="Times New Roman" w:cs="Times New Roman"/>
          <w:sz w:val="28"/>
          <w:szCs w:val="28"/>
          <w:lang w:val="uk-UA"/>
        </w:rPr>
        <w:t>енергетики, промисловості і транспорту.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це шанс для України стати гідним партнером ЄС у цій сфері, зважаючи на значні ресурси для виробництва «зеленого» водню та розгалужену інфраструктуру.</w:t>
      </w:r>
    </w:p>
    <w:p w:rsidR="00A60B7B" w:rsidRDefault="00A60B7B" w:rsidP="00A60B7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0B7B" w:rsidRPr="00810773" w:rsidRDefault="00A60B7B" w:rsidP="00A60B7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10773">
        <w:rPr>
          <w:rFonts w:ascii="Times New Roman" w:hAnsi="Times New Roman" w:cs="Times New Roman"/>
          <w:sz w:val="28"/>
          <w:szCs w:val="28"/>
          <w:lang w:val="uk-UA"/>
        </w:rPr>
        <w:t xml:space="preserve">озроблено цілий пакет </w:t>
      </w:r>
      <w:proofErr w:type="spellStart"/>
      <w:r w:rsidRPr="00810773">
        <w:rPr>
          <w:rFonts w:ascii="Times New Roman" w:hAnsi="Times New Roman" w:cs="Times New Roman"/>
          <w:sz w:val="28"/>
          <w:szCs w:val="28"/>
          <w:lang w:val="uk-UA"/>
        </w:rPr>
        <w:t>законопроєктів</w:t>
      </w:r>
      <w:proofErr w:type="spellEnd"/>
      <w:r w:rsidRPr="00810773">
        <w:rPr>
          <w:rFonts w:ascii="Times New Roman" w:hAnsi="Times New Roman" w:cs="Times New Roman"/>
          <w:sz w:val="28"/>
          <w:szCs w:val="28"/>
          <w:lang w:val="uk-UA"/>
        </w:rPr>
        <w:t xml:space="preserve"> для активізації заміщення імпорту традиційних енергоресурсів шляхом розвитку </w:t>
      </w:r>
      <w:r w:rsidRPr="00135C37">
        <w:rPr>
          <w:rFonts w:ascii="Times New Roman" w:hAnsi="Times New Roman" w:cs="Times New Roman"/>
          <w:b/>
          <w:sz w:val="28"/>
          <w:szCs w:val="28"/>
          <w:lang w:val="uk-UA"/>
        </w:rPr>
        <w:t>біоенергетики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а саме:</w:t>
      </w:r>
    </w:p>
    <w:p w:rsidR="00A60B7B" w:rsidRPr="00303FFB" w:rsidRDefault="00303FFB" w:rsidP="00303FFB">
      <w:pPr>
        <w:pStyle w:val="a8"/>
        <w:numPr>
          <w:ilvl w:val="0"/>
          <w:numId w:val="15"/>
        </w:numPr>
        <w:shd w:val="clear" w:color="auto" w:fill="FFFFFF"/>
        <w:spacing w:before="60" w:after="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з</w:t>
      </w:r>
      <w:r w:rsidR="00A60B7B" w:rsidRPr="00303FFB">
        <w:rPr>
          <w:rFonts w:ascii="Times New Roman" w:hAnsi="Times New Roman"/>
          <w:bCs/>
          <w:sz w:val="28"/>
          <w:szCs w:val="28"/>
          <w:lang w:val="uk-UA"/>
        </w:rPr>
        <w:t>аконопроєкт</w:t>
      </w:r>
      <w:proofErr w:type="spellEnd"/>
      <w:r w:rsidR="00A60B7B" w:rsidRPr="00303FFB">
        <w:rPr>
          <w:rFonts w:ascii="Times New Roman" w:hAnsi="Times New Roman"/>
          <w:bCs/>
          <w:sz w:val="28"/>
          <w:szCs w:val="28"/>
          <w:lang w:val="uk-UA"/>
        </w:rPr>
        <w:t xml:space="preserve"> щодо розвитку прозорого та конкурентного ринку твердих біопалив шляхом</w:t>
      </w:r>
      <w:r w:rsidR="00A60B7B" w:rsidRPr="00303FFB">
        <w:rPr>
          <w:rFonts w:ascii="Times New Roman" w:hAnsi="Times New Roman"/>
          <w:sz w:val="28"/>
          <w:szCs w:val="28"/>
          <w:lang w:val="uk-UA"/>
        </w:rPr>
        <w:t xml:space="preserve"> впровадження системи електрон</w:t>
      </w:r>
      <w:r>
        <w:rPr>
          <w:rFonts w:ascii="Times New Roman" w:hAnsi="Times New Roman"/>
          <w:sz w:val="28"/>
          <w:szCs w:val="28"/>
          <w:lang w:val="uk-UA"/>
        </w:rPr>
        <w:t>ної торгівлі таким біопаливом;</w:t>
      </w:r>
    </w:p>
    <w:p w:rsidR="00A60B7B" w:rsidRPr="00303FFB" w:rsidRDefault="00303FFB" w:rsidP="00303FFB">
      <w:pPr>
        <w:pStyle w:val="a8"/>
        <w:numPr>
          <w:ilvl w:val="0"/>
          <w:numId w:val="15"/>
        </w:numPr>
        <w:shd w:val="clear" w:color="auto" w:fill="FFFFFF"/>
        <w:spacing w:before="60" w:after="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="00A60B7B" w:rsidRPr="00303FFB">
        <w:rPr>
          <w:rFonts w:ascii="Times New Roman" w:hAnsi="Times New Roman"/>
          <w:sz w:val="28"/>
          <w:szCs w:val="28"/>
        </w:rPr>
        <w:t>аконопроєкт</w:t>
      </w:r>
      <w:proofErr w:type="spellEnd"/>
      <w:r w:rsidR="00A60B7B" w:rsidRPr="00303F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B7B" w:rsidRPr="00303FFB">
        <w:rPr>
          <w:rFonts w:ascii="Times New Roman" w:hAnsi="Times New Roman"/>
          <w:sz w:val="28"/>
          <w:szCs w:val="28"/>
        </w:rPr>
        <w:t>щодо</w:t>
      </w:r>
      <w:proofErr w:type="spellEnd"/>
      <w:r w:rsidR="00A60B7B" w:rsidRPr="00303F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B7B" w:rsidRPr="00303FFB">
        <w:rPr>
          <w:rFonts w:ascii="Times New Roman" w:hAnsi="Times New Roman"/>
          <w:sz w:val="28"/>
          <w:szCs w:val="28"/>
        </w:rPr>
        <w:t>обов'язковості</w:t>
      </w:r>
      <w:proofErr w:type="spellEnd"/>
      <w:r w:rsidR="00A60B7B" w:rsidRPr="00303F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B7B" w:rsidRPr="00303FFB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="00A60B7B" w:rsidRPr="00303F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B7B" w:rsidRPr="00303FFB">
        <w:rPr>
          <w:rFonts w:ascii="Times New Roman" w:hAnsi="Times New Roman"/>
          <w:sz w:val="28"/>
          <w:szCs w:val="28"/>
        </w:rPr>
        <w:t>рідког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біопалива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галузі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транспорту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60B7B" w:rsidRPr="00303FFB" w:rsidRDefault="00303FFB" w:rsidP="00303FFB">
      <w:pPr>
        <w:pStyle w:val="a8"/>
        <w:numPr>
          <w:ilvl w:val="0"/>
          <w:numId w:val="15"/>
        </w:numPr>
        <w:shd w:val="clear" w:color="auto" w:fill="FFFFFF"/>
        <w:spacing w:before="60" w:after="60" w:line="24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="00A60B7B" w:rsidRPr="00303FFB">
        <w:rPr>
          <w:rFonts w:ascii="Times New Roman" w:hAnsi="Times New Roman"/>
          <w:bCs/>
          <w:sz w:val="28"/>
          <w:szCs w:val="28"/>
          <w:lang w:val="uk-UA"/>
        </w:rPr>
        <w:t>аконопроєкт</w:t>
      </w:r>
      <w:proofErr w:type="spellEnd"/>
      <w:r w:rsidR="00A60B7B" w:rsidRPr="00303FFB">
        <w:rPr>
          <w:rFonts w:ascii="Times New Roman" w:hAnsi="Times New Roman"/>
          <w:bCs/>
          <w:sz w:val="28"/>
          <w:szCs w:val="28"/>
          <w:lang w:val="uk-UA"/>
        </w:rPr>
        <w:t xml:space="preserve"> щодо стимулювання вирощування енергетичних рослин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A60B7B" w:rsidRPr="00303FFB" w:rsidRDefault="00303FFB" w:rsidP="00303FFB">
      <w:pPr>
        <w:pStyle w:val="a8"/>
        <w:numPr>
          <w:ilvl w:val="0"/>
          <w:numId w:val="15"/>
        </w:numPr>
        <w:shd w:val="clear" w:color="auto" w:fill="FFFFFF"/>
        <w:spacing w:before="60" w:after="60" w:line="240" w:lineRule="auto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="00A60B7B" w:rsidRPr="00303FFB">
        <w:rPr>
          <w:rFonts w:ascii="Times New Roman" w:hAnsi="Times New Roman"/>
          <w:bCs/>
          <w:sz w:val="28"/>
          <w:szCs w:val="28"/>
          <w:lang w:val="uk-UA"/>
        </w:rPr>
        <w:t>аконопроєкт</w:t>
      </w:r>
      <w:proofErr w:type="spellEnd"/>
      <w:r w:rsidR="00A60B7B" w:rsidRPr="00303FFB">
        <w:rPr>
          <w:rFonts w:ascii="Times New Roman" w:hAnsi="Times New Roman"/>
          <w:bCs/>
          <w:sz w:val="28"/>
          <w:szCs w:val="28"/>
          <w:lang w:val="uk-UA"/>
        </w:rPr>
        <w:t xml:space="preserve"> щодо звільнення біопалива від податку на викиди СО</w:t>
      </w:r>
      <w:r w:rsidR="00A60B7B" w:rsidRPr="00303FFB">
        <w:rPr>
          <w:rFonts w:ascii="Cambria Math" w:hAnsi="Cambria Math"/>
          <w:bCs/>
          <w:sz w:val="28"/>
          <w:szCs w:val="28"/>
          <w:lang w:val="uk-UA"/>
        </w:rPr>
        <w:t>₂</w:t>
      </w:r>
      <w:r>
        <w:rPr>
          <w:rFonts w:ascii="Cambria Math" w:hAnsi="Cambria Math"/>
          <w:bCs/>
          <w:sz w:val="28"/>
          <w:szCs w:val="28"/>
          <w:lang w:val="uk-UA"/>
        </w:rPr>
        <w:t>.</w:t>
      </w:r>
    </w:p>
    <w:p w:rsidR="00A60B7B" w:rsidRDefault="00A60B7B" w:rsidP="00A60B7B">
      <w:pPr>
        <w:pStyle w:val="StyleZakonu"/>
        <w:spacing w:after="0"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Також опрацьовується питання розвитку</w:t>
      </w:r>
      <w:r w:rsidRPr="00EB388E">
        <w:rPr>
          <w:sz w:val="28"/>
          <w:szCs w:val="28"/>
        </w:rPr>
        <w:t xml:space="preserve"> ринку </w:t>
      </w:r>
      <w:proofErr w:type="spellStart"/>
      <w:r w:rsidRPr="00EB388E">
        <w:rPr>
          <w:sz w:val="28"/>
          <w:szCs w:val="28"/>
        </w:rPr>
        <w:t>біометану</w:t>
      </w:r>
      <w:proofErr w:type="spellEnd"/>
      <w:r w:rsidRPr="00EB388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Його </w:t>
      </w:r>
      <w:r w:rsidRPr="00EB388E">
        <w:rPr>
          <w:sz w:val="28"/>
          <w:szCs w:val="28"/>
        </w:rPr>
        <w:t xml:space="preserve">потенціал </w:t>
      </w:r>
      <w:r>
        <w:rPr>
          <w:sz w:val="28"/>
          <w:szCs w:val="28"/>
        </w:rPr>
        <w:t xml:space="preserve">дозволяє замістити в еквіваленті </w:t>
      </w:r>
      <w:r w:rsidRPr="00EB388E">
        <w:rPr>
          <w:sz w:val="28"/>
          <w:szCs w:val="28"/>
        </w:rPr>
        <w:t xml:space="preserve">близько 8 </w:t>
      </w:r>
      <w:proofErr w:type="spellStart"/>
      <w:r w:rsidRPr="00EB388E">
        <w:rPr>
          <w:sz w:val="28"/>
          <w:szCs w:val="28"/>
        </w:rPr>
        <w:t>млрд</w:t>
      </w:r>
      <w:proofErr w:type="spellEnd"/>
      <w:r w:rsidRPr="00EB388E">
        <w:rPr>
          <w:sz w:val="28"/>
          <w:szCs w:val="28"/>
        </w:rPr>
        <w:t xml:space="preserve"> м</w:t>
      </w:r>
      <w:r w:rsidRPr="00EB388E">
        <w:rPr>
          <w:sz w:val="28"/>
          <w:szCs w:val="28"/>
          <w:vertAlign w:val="superscript"/>
        </w:rPr>
        <w:t>3</w:t>
      </w:r>
      <w:r w:rsidRPr="00EB388E">
        <w:rPr>
          <w:sz w:val="28"/>
          <w:szCs w:val="28"/>
        </w:rPr>
        <w:t xml:space="preserve"> газу в рік.</w:t>
      </w:r>
    </w:p>
    <w:p w:rsidR="00D468D1" w:rsidRDefault="00D468D1" w:rsidP="00D468D1">
      <w:pPr>
        <w:pStyle w:val="StyleZakonu"/>
        <w:spacing w:after="0" w:line="240" w:lineRule="auto"/>
        <w:ind w:firstLine="708"/>
        <w:rPr>
          <w:sz w:val="28"/>
          <w:szCs w:val="28"/>
        </w:rPr>
      </w:pPr>
      <w:r w:rsidRPr="00D468D1">
        <w:rPr>
          <w:sz w:val="28"/>
          <w:szCs w:val="28"/>
        </w:rPr>
        <w:t xml:space="preserve">«Якщо взяти до уваги максимальні можливості використання твердого біопалива в Україні (відходи агросектору, енергетичні рослини, біогаз, </w:t>
      </w:r>
      <w:proofErr w:type="spellStart"/>
      <w:r w:rsidRPr="00D468D1">
        <w:rPr>
          <w:sz w:val="28"/>
          <w:szCs w:val="28"/>
        </w:rPr>
        <w:t>біометан</w:t>
      </w:r>
      <w:proofErr w:type="spellEnd"/>
      <w:r w:rsidRPr="00D468D1">
        <w:rPr>
          <w:sz w:val="28"/>
          <w:szCs w:val="28"/>
        </w:rPr>
        <w:t xml:space="preserve">), то потенціал заміщення імпортного газу може сягнути 37 </w:t>
      </w:r>
      <w:proofErr w:type="spellStart"/>
      <w:r w:rsidRPr="00D468D1">
        <w:rPr>
          <w:sz w:val="28"/>
          <w:szCs w:val="28"/>
        </w:rPr>
        <w:t>млрд</w:t>
      </w:r>
      <w:proofErr w:type="spellEnd"/>
      <w:r w:rsidRPr="00D468D1">
        <w:rPr>
          <w:sz w:val="28"/>
          <w:szCs w:val="28"/>
        </w:rPr>
        <w:t xml:space="preserve"> м3 газу в рік. Навіть використання менше  половини цього потенціалу буде достатньо, щоб позбавитися залежності від імпорту газу, який у 2019 р. склав</w:t>
      </w:r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млрд</w:t>
      </w:r>
      <w:proofErr w:type="spellEnd"/>
      <w:r>
        <w:rPr>
          <w:sz w:val="28"/>
          <w:szCs w:val="28"/>
        </w:rPr>
        <w:t xml:space="preserve"> м3 і за який сплачено </w:t>
      </w:r>
      <w:r w:rsidRPr="00D468D1">
        <w:rPr>
          <w:sz w:val="28"/>
          <w:szCs w:val="28"/>
        </w:rPr>
        <w:t xml:space="preserve">3 </w:t>
      </w:r>
      <w:proofErr w:type="spellStart"/>
      <w:r w:rsidRPr="00D468D1">
        <w:rPr>
          <w:sz w:val="28"/>
          <w:szCs w:val="28"/>
        </w:rPr>
        <w:t>млрд</w:t>
      </w:r>
      <w:proofErr w:type="spellEnd"/>
      <w:r w:rsidRPr="00D468D1">
        <w:rPr>
          <w:sz w:val="28"/>
          <w:szCs w:val="28"/>
        </w:rPr>
        <w:t xml:space="preserve"> доларів», - прокоментував заступник Голови </w:t>
      </w:r>
      <w:proofErr w:type="spellStart"/>
      <w:r w:rsidRPr="00D468D1">
        <w:rPr>
          <w:sz w:val="28"/>
          <w:szCs w:val="28"/>
        </w:rPr>
        <w:t>Держенергоефективності</w:t>
      </w:r>
      <w:proofErr w:type="spellEnd"/>
      <w:r w:rsidRPr="00D468D1">
        <w:rPr>
          <w:sz w:val="28"/>
          <w:szCs w:val="28"/>
        </w:rPr>
        <w:t xml:space="preserve"> Юрій </w:t>
      </w:r>
      <w:proofErr w:type="spellStart"/>
      <w:r w:rsidRPr="00D468D1">
        <w:rPr>
          <w:sz w:val="28"/>
          <w:szCs w:val="28"/>
        </w:rPr>
        <w:t>Шафаренко</w:t>
      </w:r>
      <w:proofErr w:type="spellEnd"/>
      <w:r w:rsidRPr="00D468D1">
        <w:rPr>
          <w:sz w:val="28"/>
          <w:szCs w:val="28"/>
        </w:rPr>
        <w:t>.</w:t>
      </w:r>
    </w:p>
    <w:p w:rsidR="00A60B7B" w:rsidRDefault="00A60B7B" w:rsidP="00A60B7B">
      <w:pPr>
        <w:pStyle w:val="StyleZakonu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Розвиток біоенергетики є особливо перспективним для громад. Це потрібно мати на увазі новообраним головам, які бажають зменшити витрати на оплату енергоносіїв, успішно пройти опалювальний сезон, а також забезпечити робочі місця і активізувати економічні процеси.</w:t>
      </w:r>
    </w:p>
    <w:p w:rsidR="00A60B7B" w:rsidRDefault="00A60B7B" w:rsidP="00A60B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04180">
        <w:rPr>
          <w:rFonts w:ascii="Times New Roman" w:hAnsi="Times New Roman" w:cs="Times New Roman"/>
          <w:sz w:val="28"/>
          <w:szCs w:val="28"/>
          <w:lang w:val="uk-UA"/>
        </w:rPr>
        <w:t xml:space="preserve">Закликаю громади до активної роботи у </w:t>
      </w:r>
      <w:r>
        <w:rPr>
          <w:rFonts w:ascii="Times New Roman" w:hAnsi="Times New Roman" w:cs="Times New Roman"/>
          <w:sz w:val="28"/>
          <w:szCs w:val="28"/>
          <w:lang w:val="uk-UA"/>
        </w:rPr>
        <w:t>всіх вище</w:t>
      </w:r>
      <w:r w:rsidRPr="00104180">
        <w:rPr>
          <w:rFonts w:ascii="Times New Roman" w:hAnsi="Times New Roman" w:cs="Times New Roman"/>
          <w:sz w:val="28"/>
          <w:szCs w:val="28"/>
          <w:lang w:val="uk-UA"/>
        </w:rPr>
        <w:t>зазначених сферах. Це запорука не лише Вашої енергонезалежності, а й економічного розвитку, енергобезпеки та добробуту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- підсумував Костянтин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0B7B" w:rsidRDefault="00A60B7B" w:rsidP="00A60B7B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A60B7B" w:rsidRPr="00A60B7B" w:rsidRDefault="00A60B7B" w:rsidP="00A60B7B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0B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зв’язків з громадськістю </w:t>
      </w:r>
    </w:p>
    <w:p w:rsidR="00A60B7B" w:rsidRDefault="00A60B7B" w:rsidP="00A60B7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0B7B" w:rsidSect="00AA59DC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A7B" w:rsidRDefault="000C2A7B" w:rsidP="008A7962">
      <w:pPr>
        <w:spacing w:after="0" w:line="240" w:lineRule="auto"/>
      </w:pPr>
      <w:r>
        <w:separator/>
      </w:r>
    </w:p>
  </w:endnote>
  <w:endnote w:type="continuationSeparator" w:id="0">
    <w:p w:rsidR="000C2A7B" w:rsidRDefault="000C2A7B" w:rsidP="008A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636407"/>
      <w:docPartObj>
        <w:docPartGallery w:val="Page Numbers (Bottom of Page)"/>
        <w:docPartUnique/>
      </w:docPartObj>
    </w:sdtPr>
    <w:sdtContent>
      <w:p w:rsidR="00810773" w:rsidRDefault="00A70652">
        <w:pPr>
          <w:pStyle w:val="a6"/>
          <w:jc w:val="right"/>
        </w:pPr>
        <w:r>
          <w:fldChar w:fldCharType="begin"/>
        </w:r>
        <w:r w:rsidR="001A18FA">
          <w:instrText xml:space="preserve"> PAGE   \* MERGEFORMAT </w:instrText>
        </w:r>
        <w:r>
          <w:fldChar w:fldCharType="separate"/>
        </w:r>
        <w:r w:rsidR="00D20A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0773" w:rsidRDefault="008107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A7B" w:rsidRDefault="000C2A7B" w:rsidP="008A7962">
      <w:pPr>
        <w:spacing w:after="0" w:line="240" w:lineRule="auto"/>
      </w:pPr>
      <w:r>
        <w:separator/>
      </w:r>
    </w:p>
  </w:footnote>
  <w:footnote w:type="continuationSeparator" w:id="0">
    <w:p w:rsidR="000C2A7B" w:rsidRDefault="000C2A7B" w:rsidP="008A7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D9F"/>
    <w:multiLevelType w:val="hybridMultilevel"/>
    <w:tmpl w:val="DCD8F0A4"/>
    <w:lvl w:ilvl="0" w:tplc="6D5A9DF4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5132"/>
    <w:multiLevelType w:val="hybridMultilevel"/>
    <w:tmpl w:val="18DE5B1C"/>
    <w:lvl w:ilvl="0" w:tplc="6D5A9DF4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6656E"/>
    <w:multiLevelType w:val="hybridMultilevel"/>
    <w:tmpl w:val="8FD09F9E"/>
    <w:lvl w:ilvl="0" w:tplc="64E415E0">
      <w:start w:val="4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448E9"/>
    <w:multiLevelType w:val="hybridMultilevel"/>
    <w:tmpl w:val="B4D4C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C76D7"/>
    <w:multiLevelType w:val="hybridMultilevel"/>
    <w:tmpl w:val="32368C86"/>
    <w:lvl w:ilvl="0" w:tplc="2C8C7BC8">
      <w:numFmt w:val="bullet"/>
      <w:lvlText w:val="•"/>
      <w:lvlJc w:val="left"/>
      <w:pPr>
        <w:ind w:left="1935" w:hanging="15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D2FEA"/>
    <w:multiLevelType w:val="hybridMultilevel"/>
    <w:tmpl w:val="EF065C4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A77C24"/>
    <w:multiLevelType w:val="hybridMultilevel"/>
    <w:tmpl w:val="94B8DB6A"/>
    <w:lvl w:ilvl="0" w:tplc="6D5A9DF4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6424F"/>
    <w:multiLevelType w:val="hybridMultilevel"/>
    <w:tmpl w:val="1850067E"/>
    <w:lvl w:ilvl="0" w:tplc="79A649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B5E422B"/>
    <w:multiLevelType w:val="hybridMultilevel"/>
    <w:tmpl w:val="99500A00"/>
    <w:lvl w:ilvl="0" w:tplc="FC666178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80C02"/>
    <w:multiLevelType w:val="hybridMultilevel"/>
    <w:tmpl w:val="3A506F32"/>
    <w:lvl w:ilvl="0" w:tplc="CED65EF4">
      <w:start w:val="1"/>
      <w:numFmt w:val="decimal"/>
      <w:lvlText w:val="%1)"/>
      <w:lvlJc w:val="left"/>
      <w:pPr>
        <w:ind w:left="182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8C7A1A"/>
    <w:multiLevelType w:val="hybridMultilevel"/>
    <w:tmpl w:val="5B9E3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14AC5"/>
    <w:multiLevelType w:val="hybridMultilevel"/>
    <w:tmpl w:val="40E27EF4"/>
    <w:lvl w:ilvl="0" w:tplc="EB56D914">
      <w:start w:val="1"/>
      <w:numFmt w:val="bullet"/>
      <w:lvlText w:val=""/>
      <w:lvlJc w:val="left"/>
      <w:pPr>
        <w:ind w:left="1935" w:hanging="15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0352E"/>
    <w:multiLevelType w:val="hybridMultilevel"/>
    <w:tmpl w:val="C98ECFEA"/>
    <w:lvl w:ilvl="0" w:tplc="E6389C9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B261C6B"/>
    <w:multiLevelType w:val="hybridMultilevel"/>
    <w:tmpl w:val="32AA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12BD4"/>
    <w:multiLevelType w:val="hybridMultilevel"/>
    <w:tmpl w:val="3FACFE6A"/>
    <w:lvl w:ilvl="0" w:tplc="EB56D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12"/>
  </w:num>
  <w:num w:numId="6">
    <w:abstractNumId w:val="14"/>
  </w:num>
  <w:num w:numId="7">
    <w:abstractNumId w:val="5"/>
  </w:num>
  <w:num w:numId="8">
    <w:abstractNumId w:val="8"/>
  </w:num>
  <w:num w:numId="9">
    <w:abstractNumId w:val="13"/>
  </w:num>
  <w:num w:numId="10">
    <w:abstractNumId w:val="2"/>
  </w:num>
  <w:num w:numId="11">
    <w:abstractNumId w:val="10"/>
  </w:num>
  <w:num w:numId="12">
    <w:abstractNumId w:val="1"/>
  </w:num>
  <w:num w:numId="13">
    <w:abstractNumId w:val="6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A59DC"/>
    <w:rsid w:val="000464D0"/>
    <w:rsid w:val="00081144"/>
    <w:rsid w:val="00095973"/>
    <w:rsid w:val="000B4B53"/>
    <w:rsid w:val="000C2A7B"/>
    <w:rsid w:val="000E623D"/>
    <w:rsid w:val="000F46DB"/>
    <w:rsid w:val="00104180"/>
    <w:rsid w:val="0012125C"/>
    <w:rsid w:val="001250D4"/>
    <w:rsid w:val="00135C37"/>
    <w:rsid w:val="0015241A"/>
    <w:rsid w:val="00163BF0"/>
    <w:rsid w:val="001770AA"/>
    <w:rsid w:val="00186747"/>
    <w:rsid w:val="001A18FA"/>
    <w:rsid w:val="001B07C0"/>
    <w:rsid w:val="001D64AE"/>
    <w:rsid w:val="002129E4"/>
    <w:rsid w:val="00234F33"/>
    <w:rsid w:val="00236EB4"/>
    <w:rsid w:val="002A0D2D"/>
    <w:rsid w:val="002A35BB"/>
    <w:rsid w:val="002E47B3"/>
    <w:rsid w:val="002F7535"/>
    <w:rsid w:val="00301949"/>
    <w:rsid w:val="00303FFB"/>
    <w:rsid w:val="00306783"/>
    <w:rsid w:val="00315A2B"/>
    <w:rsid w:val="00372DDA"/>
    <w:rsid w:val="00391F84"/>
    <w:rsid w:val="003A575F"/>
    <w:rsid w:val="003C7272"/>
    <w:rsid w:val="00404D5A"/>
    <w:rsid w:val="00432A27"/>
    <w:rsid w:val="00483451"/>
    <w:rsid w:val="0049069D"/>
    <w:rsid w:val="004A074C"/>
    <w:rsid w:val="004C58E5"/>
    <w:rsid w:val="004E644C"/>
    <w:rsid w:val="00634A75"/>
    <w:rsid w:val="00654DC6"/>
    <w:rsid w:val="00687C8D"/>
    <w:rsid w:val="006A4D41"/>
    <w:rsid w:val="006F4B6E"/>
    <w:rsid w:val="007128D8"/>
    <w:rsid w:val="007437E6"/>
    <w:rsid w:val="007772D2"/>
    <w:rsid w:val="007954FA"/>
    <w:rsid w:val="008066FB"/>
    <w:rsid w:val="00810773"/>
    <w:rsid w:val="008709A7"/>
    <w:rsid w:val="00872F02"/>
    <w:rsid w:val="00880344"/>
    <w:rsid w:val="008812F1"/>
    <w:rsid w:val="008A7962"/>
    <w:rsid w:val="008E7367"/>
    <w:rsid w:val="00904EAF"/>
    <w:rsid w:val="0090697D"/>
    <w:rsid w:val="00916053"/>
    <w:rsid w:val="0093730D"/>
    <w:rsid w:val="0097230C"/>
    <w:rsid w:val="009777A6"/>
    <w:rsid w:val="0098412F"/>
    <w:rsid w:val="00A11B28"/>
    <w:rsid w:val="00A172EF"/>
    <w:rsid w:val="00A41AD0"/>
    <w:rsid w:val="00A50FD9"/>
    <w:rsid w:val="00A60B7B"/>
    <w:rsid w:val="00A70652"/>
    <w:rsid w:val="00A93F70"/>
    <w:rsid w:val="00AA59DC"/>
    <w:rsid w:val="00AB3D67"/>
    <w:rsid w:val="00AB74D5"/>
    <w:rsid w:val="00AC38B9"/>
    <w:rsid w:val="00AC3920"/>
    <w:rsid w:val="00B01964"/>
    <w:rsid w:val="00B17194"/>
    <w:rsid w:val="00B208B7"/>
    <w:rsid w:val="00B2508C"/>
    <w:rsid w:val="00B435B8"/>
    <w:rsid w:val="00B71909"/>
    <w:rsid w:val="00BB2157"/>
    <w:rsid w:val="00BC405E"/>
    <w:rsid w:val="00BC46F0"/>
    <w:rsid w:val="00C10AF5"/>
    <w:rsid w:val="00C10DB9"/>
    <w:rsid w:val="00C13724"/>
    <w:rsid w:val="00C5592C"/>
    <w:rsid w:val="00C768D5"/>
    <w:rsid w:val="00CC7BE6"/>
    <w:rsid w:val="00CE008F"/>
    <w:rsid w:val="00D20A62"/>
    <w:rsid w:val="00D3636D"/>
    <w:rsid w:val="00D37DEF"/>
    <w:rsid w:val="00D468D1"/>
    <w:rsid w:val="00D51673"/>
    <w:rsid w:val="00DC4328"/>
    <w:rsid w:val="00E17706"/>
    <w:rsid w:val="00E34B7F"/>
    <w:rsid w:val="00EA21F3"/>
    <w:rsid w:val="00EB388E"/>
    <w:rsid w:val="00EB6C40"/>
    <w:rsid w:val="00EF6099"/>
    <w:rsid w:val="00F41A5F"/>
    <w:rsid w:val="00F439E1"/>
    <w:rsid w:val="00F90DC8"/>
    <w:rsid w:val="00FA39F0"/>
    <w:rsid w:val="00FA73FB"/>
    <w:rsid w:val="00FE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9D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A7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796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A7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7962"/>
    <w:rPr>
      <w:rFonts w:ascii="Calibri" w:eastAsia="Times New Roman" w:hAnsi="Calibri" w:cs="Times New Roman"/>
      <w:lang w:eastAsia="ru-RU"/>
    </w:rPr>
  </w:style>
  <w:style w:type="paragraph" w:customStyle="1" w:styleId="StyleZakonu">
    <w:name w:val="StyleZakonu"/>
    <w:basedOn w:val="a"/>
    <w:uiPriority w:val="99"/>
    <w:rsid w:val="008A7962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8">
    <w:name w:val="List Paragraph"/>
    <w:basedOn w:val="a"/>
    <w:uiPriority w:val="34"/>
    <w:qFormat/>
    <w:rsid w:val="008A796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yperlink0">
    <w:name w:val="Hyperlink.0"/>
    <w:basedOn w:val="a0"/>
    <w:rsid w:val="003A575F"/>
    <w:rPr>
      <w:rFonts w:ascii="Times New Roman" w:eastAsia="Times New Roman" w:hAnsi="Times New Roman" w:cs="Times New Roman"/>
      <w:outline w:val="0"/>
      <w:color w:val="000000"/>
      <w:sz w:val="28"/>
      <w:szCs w:val="28"/>
      <w:u w:color="000000"/>
    </w:rPr>
  </w:style>
  <w:style w:type="character" w:styleId="a9">
    <w:name w:val="Hyperlink"/>
    <w:basedOn w:val="a0"/>
    <w:uiPriority w:val="99"/>
    <w:unhideWhenUsed/>
    <w:rsid w:val="00A11B2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6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Zverdvd.org</cp:lastModifiedBy>
  <cp:revision>44</cp:revision>
  <cp:lastPrinted>2020-11-25T06:54:00Z</cp:lastPrinted>
  <dcterms:created xsi:type="dcterms:W3CDTF">2020-11-23T14:49:00Z</dcterms:created>
  <dcterms:modified xsi:type="dcterms:W3CDTF">2020-11-26T04:02:00Z</dcterms:modified>
</cp:coreProperties>
</file>