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D316" w14:textId="77777777" w:rsidR="00287C00" w:rsidRDefault="00287C00" w:rsidP="00287C00">
      <w:pPr>
        <w:pStyle w:val="a4"/>
        <w:jc w:val="center"/>
        <w:rPr>
          <w:bCs/>
          <w:sz w:val="28"/>
          <w:szCs w:val="28"/>
        </w:rPr>
      </w:pPr>
    </w:p>
    <w:p w14:paraId="35940109" w14:textId="77777777" w:rsidR="00287C00" w:rsidRDefault="00287C00" w:rsidP="0028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</w:t>
      </w:r>
    </w:p>
    <w:p w14:paraId="6A17578E" w14:textId="405C7226" w:rsidR="00287C00" w:rsidRDefault="00287C00" w:rsidP="0028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хід</w:t>
      </w:r>
      <w:r>
        <w:rPr>
          <w:b/>
          <w:sz w:val="28"/>
          <w:szCs w:val="28"/>
        </w:rPr>
        <w:t xml:space="preserve"> виконання у 1 півріччі 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року</w:t>
      </w:r>
    </w:p>
    <w:p w14:paraId="1C86C2CC" w14:textId="77777777" w:rsidR="00287C00" w:rsidRDefault="00287C00" w:rsidP="00287C00">
      <w:pPr>
        <w:ind w:right="-141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Регіональної цільової програми розвитку клубних закладів </w:t>
      </w:r>
    </w:p>
    <w:p w14:paraId="78EBC846" w14:textId="77777777" w:rsidR="00287C00" w:rsidRDefault="00287C00" w:rsidP="00287C00">
      <w:pPr>
        <w:tabs>
          <w:tab w:val="left" w:pos="567"/>
        </w:tabs>
        <w:ind w:right="-141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 сільській місцевості на 2019-2021 роки</w:t>
      </w:r>
    </w:p>
    <w:p w14:paraId="086F202A" w14:textId="77777777" w:rsidR="00287C00" w:rsidRDefault="00287C00" w:rsidP="00287C00">
      <w:pPr>
        <w:pStyle w:val="a6"/>
        <w:ind w:firstLine="0"/>
        <w:rPr>
          <w:sz w:val="28"/>
        </w:rPr>
      </w:pPr>
    </w:p>
    <w:p w14:paraId="4FB140CB" w14:textId="77777777" w:rsidR="00287C00" w:rsidRDefault="00287C00" w:rsidP="00287C00">
      <w:pPr>
        <w:tabs>
          <w:tab w:val="left" w:pos="567"/>
          <w:tab w:val="left" w:pos="709"/>
        </w:tabs>
        <w:spacing w:line="240" w:lineRule="atLeast"/>
        <w:ind w:right="-141"/>
        <w:jc w:val="both"/>
        <w:rPr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Мета програми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забезпечення </w:t>
      </w:r>
      <w:r>
        <w:rPr>
          <w:sz w:val="28"/>
          <w:szCs w:val="28"/>
        </w:rPr>
        <w:t>збереження та відновлення клубних закладів у сільській місцевості,</w:t>
      </w:r>
      <w:r>
        <w:rPr>
          <w:sz w:val="28"/>
          <w:szCs w:val="28"/>
          <w:lang w:eastAsia="uk-UA"/>
        </w:rPr>
        <w:t xml:space="preserve"> підвищення кваліфікаційного рівня їх працівників, ролі та статусу закладів культури клубного типу в культурному житті мешканців сільських населених пунктів області.</w:t>
      </w:r>
    </w:p>
    <w:p w14:paraId="5E0F7CBE" w14:textId="77777777" w:rsidR="00287C00" w:rsidRDefault="00287C00" w:rsidP="00287C00">
      <w:pPr>
        <w:tabs>
          <w:tab w:val="left" w:pos="567"/>
        </w:tabs>
        <w:ind w:right="140"/>
        <w:jc w:val="both"/>
        <w:rPr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Підстава для розроблення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Hlk526433236"/>
      <w:r>
        <w:rPr>
          <w:sz w:val="28"/>
          <w:szCs w:val="28"/>
        </w:rPr>
        <w:t xml:space="preserve">пункт 2 частини третьої статті 4, пункт 8 частини третьої статті 6 Закону України «Про військово-цивільні адміністрації», абзац четвертий частини першої статті 16, стаття 22 Закону України «Про культуру», Указ Президента України від 05.03.2015 № 123/2015 «Про утворення військово-цивільних адміністрацій»,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постанова Кабінету Міністрів України від 12.11.1998 № 1775 </w:t>
      </w:r>
      <w:bookmarkStart w:id="1" w:name="o3"/>
      <w:bookmarkEnd w:id="1"/>
      <w:r>
        <w:rPr>
          <w:bCs/>
          <w:color w:val="000000"/>
          <w:sz w:val="28"/>
          <w:szCs w:val="28"/>
          <w:bdr w:val="none" w:sz="0" w:space="0" w:color="auto" w:frame="1"/>
        </w:rPr>
        <w:t xml:space="preserve">«Про нормативи забезпечення населення клубними закладами», Довгострокова стратегія розвитку української культури </w:t>
      </w:r>
      <w:r>
        <w:rPr>
          <w:sz w:val="28"/>
          <w:szCs w:val="28"/>
          <w:lang w:eastAsia="uk-UA"/>
        </w:rPr>
        <w:t xml:space="preserve">– стратегія реформ, схвалена розпорядженням Кабінету Міністрів України від 01.02.2016 № 119-р, </w:t>
      </w:r>
      <w:r>
        <w:rPr>
          <w:sz w:val="28"/>
          <w:szCs w:val="28"/>
        </w:rPr>
        <w:t>План заходів з реалізації Концепції розвитку сільських територій, затверджений розпорядженням Кабінету Міністрів України від 19.07.2017 № 489-р.</w:t>
      </w:r>
    </w:p>
    <w:bookmarkEnd w:id="0"/>
    <w:p w14:paraId="13316C6D" w14:textId="77777777" w:rsidR="00287C00" w:rsidRDefault="00287C00" w:rsidP="00287C0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Затверджена:</w:t>
      </w:r>
      <w:r>
        <w:rPr>
          <w:sz w:val="28"/>
          <w:szCs w:val="28"/>
        </w:rPr>
        <w:t xml:space="preserve"> розпорядженням голови Луганської обласної державної адміністрації – керівника обласної військово-цивільної адміністрації від 26.10.2019 № 866.</w:t>
      </w:r>
    </w:p>
    <w:p w14:paraId="6A4D0F9A" w14:textId="77777777" w:rsidR="00287C00" w:rsidRDefault="00287C00" w:rsidP="00287C00">
      <w:pPr>
        <w:ind w:right="10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Співвиконавці: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управління культури, національностей та релігій облдержадміністрації; районні державні адміністрації; об’єднані територіальні громади (за згодою);</w:t>
      </w:r>
      <w:r>
        <w:rPr>
          <w:sz w:val="28"/>
          <w:szCs w:val="28"/>
        </w:rPr>
        <w:t xml:space="preserve"> сільські та селищні ради (за згодою); </w:t>
      </w:r>
      <w:r>
        <w:rPr>
          <w:sz w:val="28"/>
          <w:szCs w:val="28"/>
          <w:lang w:eastAsia="uk-UA"/>
        </w:rPr>
        <w:t xml:space="preserve">Луганський обласний центр народної творчості; </w:t>
      </w:r>
      <w:r>
        <w:rPr>
          <w:sz w:val="28"/>
          <w:szCs w:val="28"/>
        </w:rPr>
        <w:t>ОКЗ «Сєвєродонецький коледж культури і мистецтв імені Сергія Прокоф’єва»; коледж Луганської державної академії культури і мистецтв (за згодою).</w:t>
      </w:r>
    </w:p>
    <w:p w14:paraId="295C729E" w14:textId="77777777" w:rsidR="00287C00" w:rsidRDefault="00287C00" w:rsidP="00287C0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Термін виконання</w:t>
      </w:r>
      <w:r>
        <w:rPr>
          <w:sz w:val="28"/>
          <w:szCs w:val="28"/>
        </w:rPr>
        <w:t>: 2019-2021 роки.</w:t>
      </w:r>
    </w:p>
    <w:p w14:paraId="5AA5F1E9" w14:textId="77777777" w:rsidR="00287C00" w:rsidRDefault="00287C00" w:rsidP="00287C00">
      <w:pPr>
        <w:jc w:val="both"/>
        <w:rPr>
          <w:sz w:val="26"/>
          <w:szCs w:val="26"/>
        </w:rPr>
      </w:pPr>
    </w:p>
    <w:p w14:paraId="263370A3" w14:textId="77777777" w:rsidR="00287C00" w:rsidRDefault="00287C00" w:rsidP="00287C00">
      <w:pPr>
        <w:pStyle w:val="a6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Управлінням культури, національностей та релігій Луганської обласної державної адміністрації (далі – управління) здійснюється постійний моніторинг стану виконання ремонтних робіт у закладах культури; розроблення інвестиційних програм і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регіонального розвитку відповідного спрямування, що можуть реалізовуватися за рахунок коштів державного фонду регіонального розвитку; залучення коштів з різних видів бюджетів                    на виконання зазначених робіт. Проведення наведених заходів не потребує фінансування з боку управління.</w:t>
      </w:r>
    </w:p>
    <w:p w14:paraId="1E74E898" w14:textId="77777777" w:rsidR="00287C00" w:rsidRDefault="00287C00" w:rsidP="00287C00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Протягом року було заплановано розробку 12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регіонального розвитку та виконання 2 капітальних ремонтів закладів культури.</w:t>
      </w:r>
    </w:p>
    <w:p w14:paraId="060BDEB9" w14:textId="77777777" w:rsidR="00287C00" w:rsidRDefault="00287C00" w:rsidP="00287C00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Наразі розроблено 6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до участі у конкурсі інвестиційних програм    і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регіонального розвитку відповідного спрямування, що можуть реалізовуватися за рахунок коштів державного фонду регіонального розвитку.</w:t>
      </w:r>
    </w:p>
    <w:p w14:paraId="106C07F9" w14:textId="77777777" w:rsidR="00287C00" w:rsidRDefault="00287C00" w:rsidP="00287C00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У 1 півріччі 2020 року капітальні ремонти клубних закладів у рамках:</w:t>
      </w:r>
    </w:p>
    <w:p w14:paraId="1B7A87BE" w14:textId="77777777" w:rsidR="00287C00" w:rsidRDefault="00287C00" w:rsidP="00287C00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інвестиційних програм і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регіонального розвитку відповідного спрямування, що можуть реалізовуватися за рахунок коштів державного фонду регіонального розвитку</w:t>
      </w:r>
      <w:r>
        <w:t xml:space="preserve"> </w:t>
      </w:r>
      <w:r>
        <w:rPr>
          <w:sz w:val="28"/>
          <w:szCs w:val="28"/>
        </w:rPr>
        <w:t xml:space="preserve">не відбувалися у зв’язку з відсутністю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-переможців у сфері культури у 2019 році;</w:t>
      </w:r>
    </w:p>
    <w:p w14:paraId="659BAACD" w14:textId="4DE72CD6" w:rsidR="00287C00" w:rsidRPr="00287C00" w:rsidRDefault="00287C00" w:rsidP="00287C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реалізації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місцевого розвитку не відбувалися у зв’язку з тим, що обласний конкурс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місцевого розвитку Луганською облдержадміністрацією у 2020 році не оголошувався.</w:t>
      </w:r>
    </w:p>
    <w:p w14:paraId="1FF46566" w14:textId="7978E726" w:rsidR="00287C00" w:rsidRDefault="00287C00" w:rsidP="00287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напрямком діяльності</w:t>
      </w:r>
      <w:r w:rsidRPr="00287C00">
        <w:rPr>
          <w:b/>
          <w:sz w:val="28"/>
          <w:szCs w:val="28"/>
        </w:rPr>
        <w:t xml:space="preserve"> </w:t>
      </w:r>
      <w:r w:rsidRPr="00CF69D9">
        <w:rPr>
          <w:bCs/>
          <w:sz w:val="28"/>
          <w:szCs w:val="28"/>
          <w:lang w:val="uk-UA"/>
        </w:rPr>
        <w:t>«</w:t>
      </w:r>
      <w:r w:rsidRPr="00CF69D9">
        <w:rPr>
          <w:bCs/>
          <w:sz w:val="28"/>
          <w:szCs w:val="28"/>
          <w:lang w:val="uk-UA"/>
        </w:rPr>
        <w:t>Популяризація культурних надбань</w:t>
      </w:r>
      <w:r w:rsidRPr="00CF69D9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заплановано проведення 2 конкурсів:</w:t>
      </w:r>
    </w:p>
    <w:p w14:paraId="7DE2B53F" w14:textId="77777777" w:rsidR="00287C00" w:rsidRDefault="00287C00" w:rsidP="00287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огляд-конкурс любительських об’єднань та клубів за інтересами, який буде проведено у 2 півріччі 2020 року;</w:t>
      </w:r>
    </w:p>
    <w:p w14:paraId="7D501EC1" w14:textId="77777777" w:rsidR="00287C00" w:rsidRDefault="00287C00" w:rsidP="00287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регіональний етап Всеукраїнського огляду-конкурсу клубних закладів у сільській місцевості, який проводиться один раз на два роки</w:t>
      </w:r>
      <w:r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shd w:val="clear" w:color="auto" w:fill="FFFFFF"/>
          <w:lang w:val="uk-UA"/>
        </w:rPr>
        <w:t xml:space="preserve">вивчення, удосконалення та активізації діяльності клубних закладів у сільській місцевості </w:t>
      </w:r>
      <w:r>
        <w:rPr>
          <w:color w:val="000000"/>
          <w:sz w:val="28"/>
          <w:szCs w:val="28"/>
          <w:lang w:val="uk-UA" w:eastAsia="uk-UA"/>
        </w:rPr>
        <w:t>відбудеться</w:t>
      </w:r>
      <w:r>
        <w:rPr>
          <w:sz w:val="28"/>
          <w:szCs w:val="28"/>
          <w:shd w:val="clear" w:color="auto" w:fill="FFFFFF"/>
          <w:lang w:val="uk-UA"/>
        </w:rPr>
        <w:t xml:space="preserve"> у 2 півріччі 2020 року, на даний час заявки на участь отримано від 20 сільських клубних закладів області.</w:t>
      </w:r>
    </w:p>
    <w:p w14:paraId="2F6B0F11" w14:textId="0019E17C" w:rsidR="00287C00" w:rsidRPr="00AA6786" w:rsidRDefault="00287C00" w:rsidP="00AA678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 метою координації дій керівників сільських клубних закладів області щодо формування єдиного культурного середовища, регулювання процесів культурно-просвітницької діяльності на селі у 2020 році  програмою передбачено проведення 4 виїзних семінарів. </w:t>
      </w:r>
      <w:r>
        <w:rPr>
          <w:rFonts w:eastAsia="Calibri"/>
          <w:sz w:val="28"/>
          <w:szCs w:val="28"/>
        </w:rPr>
        <w:t>У зв’язку з карантинними обмеженнями семінари проведено дистанційно, кількість учасників 230 осіб з</w:t>
      </w:r>
      <w:r w:rsidR="00CF69D9"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>15 територій  області</w:t>
      </w:r>
      <w:r w:rsidR="00CF69D9">
        <w:rPr>
          <w:rFonts w:eastAsia="Calibri"/>
          <w:sz w:val="28"/>
          <w:szCs w:val="28"/>
        </w:rPr>
        <w:t xml:space="preserve"> </w:t>
      </w:r>
      <w:r w:rsidR="00CF69D9">
        <w:rPr>
          <w:rFonts w:eastAsia="Calibri"/>
          <w:sz w:val="28"/>
          <w:szCs w:val="28"/>
        </w:rPr>
        <w:t>(райони, ОТГ)</w:t>
      </w:r>
      <w:r>
        <w:rPr>
          <w:rFonts w:eastAsia="Calibri"/>
          <w:sz w:val="28"/>
          <w:szCs w:val="28"/>
        </w:rPr>
        <w:t xml:space="preserve">. </w:t>
      </w:r>
    </w:p>
    <w:p w14:paraId="392DDEEF" w14:textId="77777777" w:rsidR="00287C00" w:rsidRPr="00AA6786" w:rsidRDefault="00287C00" w:rsidP="00287C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Одним з важливих питань є вивчення змісту, організації та основних принципів діяльності сільських клубних закладів із задоволення потреб територіальних громад та можливості їх оптимізації, з цією метою проведено ряд методологічних досліджень щодо </w:t>
      </w:r>
      <w:r>
        <w:rPr>
          <w:sz w:val="28"/>
          <w:szCs w:val="28"/>
          <w:shd w:val="clear" w:color="auto" w:fill="FFFFFF"/>
        </w:rPr>
        <w:t xml:space="preserve">визначення стану та основних напрямів розвитку народної творчості та аматорського мистецтва,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AA6786">
        <w:rPr>
          <w:sz w:val="28"/>
          <w:szCs w:val="28"/>
          <w:shd w:val="clear" w:color="auto" w:fill="FFFFFF"/>
        </w:rPr>
        <w:t>виявлення проблем у сфері діяльності клубних закладів у сільській місцевості.</w:t>
      </w:r>
    </w:p>
    <w:p w14:paraId="2FCE55E9" w14:textId="77777777" w:rsidR="00287C00" w:rsidRDefault="00287C00" w:rsidP="00287C00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Моніторинг діяльності здійснювався шляхом опитування, анкетування, звітування, проведення аналізу інформації на сайтах та сторінках у соціальних мережах закладів.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результатами </w:t>
      </w:r>
      <w:r>
        <w:rPr>
          <w:spacing w:val="-6"/>
          <w:sz w:val="28"/>
          <w:szCs w:val="28"/>
        </w:rPr>
        <w:t xml:space="preserve">підготовлено 15 видів методичних та рекомендаційних матеріалів і розповсюджено серед 265 сільських клубних закладів області. Також за результатами аналізу діяльності виникла необхідність створення </w:t>
      </w:r>
      <w:r>
        <w:rPr>
          <w:rFonts w:eastAsia="Calibri"/>
          <w:sz w:val="28"/>
          <w:szCs w:val="28"/>
        </w:rPr>
        <w:t>інтерактивних груп з різних напрямів народної творчості, а саме:</w:t>
      </w:r>
    </w:p>
    <w:p w14:paraId="19C29261" w14:textId="77777777" w:rsidR="00287C00" w:rsidRDefault="00287C00" w:rsidP="00287C00">
      <w:pPr>
        <w:spacing w:line="240" w:lineRule="atLeast"/>
        <w:ind w:firstLine="708"/>
        <w:jc w:val="both"/>
        <w:rPr>
          <w:rFonts w:eastAsia="Calibri"/>
          <w:highlight w:val="green"/>
        </w:rPr>
      </w:pPr>
      <w:r>
        <w:rPr>
          <w:rFonts w:eastAsia="Calibri"/>
          <w:sz w:val="28"/>
          <w:szCs w:val="28"/>
        </w:rPr>
        <w:t xml:space="preserve">для обміну досвідом,  висвітлення напрацювань, творчих надбань, цікавих  ідей клубних закладів області створено групу  </w:t>
      </w:r>
      <w:r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  <w:lang w:val="en-US"/>
        </w:rPr>
        <w:t>Facebook</w:t>
      </w:r>
      <w:r w:rsidRPr="00287C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«Клубна вітальня «Щедра хата», </w:t>
      </w:r>
      <w:r>
        <w:rPr>
          <w:rFonts w:eastAsia="Calibri"/>
          <w:sz w:val="28"/>
          <w:szCs w:val="28"/>
        </w:rPr>
        <w:t>дана група налічує понад 200 учасників і їх кількість постійно зростає;</w:t>
      </w:r>
    </w:p>
    <w:p w14:paraId="587658B2" w14:textId="77777777" w:rsidR="00287C00" w:rsidRDefault="00287C00" w:rsidP="00287C00">
      <w:pPr>
        <w:spacing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lastRenderedPageBreak/>
        <w:t>з метою надання практичних рекомендацій щодо розвитку театрального мистецтва у сільській місцевості, обміну досвідом, удосконалення роботи аматорських театральних колективів створено віртуальну творчу лабораторію «Театральна майстерня», яка налічує 60 учасників (керівники аматорських колективів, художні керівники);</w:t>
      </w:r>
    </w:p>
    <w:p w14:paraId="4F358D1D" w14:textId="77777777" w:rsidR="00287C00" w:rsidRDefault="00287C00" w:rsidP="00287C00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метою координації творчих зусиль в питаннях розвитку всіх видів, напрямків та жанрів хореографічного мистецтва створено обласний осередок Всеукраїнської хореографічної спілки, який налічує 26 учасників, кількість учасників постійно збільшується;</w:t>
      </w:r>
    </w:p>
    <w:p w14:paraId="008193AA" w14:textId="22ED2DE7" w:rsidR="00287C00" w:rsidRPr="006D58CA" w:rsidRDefault="00287C00" w:rsidP="006D58CA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метою надання практичних рекомендацій щодо розвитку музичного мистецтва у сільській місцевості створено групу  «Музична спілка», яка налічує 34 учасника з 23 сільських клубних закладів області, кількість учасників постійно зростає.</w:t>
      </w:r>
    </w:p>
    <w:p w14:paraId="060A8A0C" w14:textId="77777777" w:rsidR="00287C00" w:rsidRDefault="00287C00" w:rsidP="00287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 зв’язку з карантинними обмеженнями</w:t>
      </w:r>
      <w:r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 xml:space="preserve"> через пандемію </w:t>
      </w:r>
      <w:proofErr w:type="spellStart"/>
      <w:r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більшість заходів переформатовані на дистанційний режим.</w:t>
      </w:r>
      <w:r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</w:p>
    <w:p w14:paraId="5D5EA50F" w14:textId="77777777" w:rsidR="00287C00" w:rsidRDefault="00287C00" w:rsidP="00287C00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Протягом 1 півріччя 2020 року з метою надання працівникам клубних закладів у сільській місцевості знань і практичних навичок з інформаційних і комунікаційних технологій проведено цикл семінарів-практикумів «</w:t>
      </w:r>
      <w:r>
        <w:rPr>
          <w:spacing w:val="-6"/>
          <w:sz w:val="28"/>
          <w:szCs w:val="28"/>
          <w:lang w:val="en-US"/>
        </w:rPr>
        <w:t>SMM</w:t>
      </w:r>
      <w:r w:rsidRPr="00287C0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просування у галузі культури», участь в яких взяли 60 осіб. </w:t>
      </w:r>
    </w:p>
    <w:p w14:paraId="12EF065A" w14:textId="77777777" w:rsidR="00287C00" w:rsidRDefault="00287C00" w:rsidP="00287C00">
      <w:pPr>
        <w:pStyle w:val="a8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 метою підвищення професійних навичок, теоретичних і практичних знань спеціалістів проведено 2 онлайн лабораторії для керівників аматорських колективів, гуртків художнього читання закладів культури клубного типу (охоплено 50 осіб); 3 онлайн майстер-класи для керівників аматорських колективів з вокально-хорового мистецтва (охоплено 36 осіб) та 2 майстер-класи для керівників з інструментального мистецтва (охоплено 30 осіб).   Всі майстер-класи висвітлені на сайті Луганського обласного центру народної творчості, станом на 01.07.2020 року налічують 1600 переглядів.</w:t>
      </w:r>
    </w:p>
    <w:p w14:paraId="76D3735F" w14:textId="77777777" w:rsidR="00287C00" w:rsidRDefault="00287C00" w:rsidP="00287C00">
      <w:pPr>
        <w:pStyle w:val="a8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Для оновлення теоретичних і практичних знань та навичок, зростання показників якості роботи працівників сільських клубних закладів проведено  онлайн семінар для керівників клубних закладів «Робота клубних закладів в сучасних умовах» із кількістю учасників – 29 осіб.</w:t>
      </w:r>
    </w:p>
    <w:p w14:paraId="28FE0B0F" w14:textId="77777777" w:rsidR="00287C00" w:rsidRDefault="00287C00" w:rsidP="00287C00">
      <w:pPr>
        <w:pStyle w:val="a8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З метою розвитку </w:t>
      </w:r>
      <w:proofErr w:type="spellStart"/>
      <w:r>
        <w:rPr>
          <w:spacing w:val="-6"/>
          <w:sz w:val="28"/>
          <w:szCs w:val="28"/>
          <w:lang w:val="uk-UA"/>
        </w:rPr>
        <w:t>декоративно</w:t>
      </w:r>
      <w:proofErr w:type="spellEnd"/>
      <w:r>
        <w:rPr>
          <w:spacing w:val="-6"/>
          <w:sz w:val="28"/>
          <w:szCs w:val="28"/>
          <w:lang w:val="uk-UA"/>
        </w:rPr>
        <w:t>-ужиткового мистецтва, виховання естетичної свідомості молоді, гармонійного розвитку особистості проведено 4 майстер-класи для вихованців КЗ «Новоайдарська обласна загальноосвітня санаторна школа-інтернат І-ІІІ ступенів» з залученням клубних працівників, охоплено 100 осіб. Для удосконалення майстерності народних умільців проведено цикл онлайн майстер-класів, охоплено 335 осіб.</w:t>
      </w:r>
    </w:p>
    <w:p w14:paraId="34FB088E" w14:textId="4A4ABFF9" w:rsidR="00287C00" w:rsidRDefault="00287C00" w:rsidP="00287C00">
      <w:pPr>
        <w:pStyle w:val="a8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 метою набуття та оновлення спеціалістами теоретичних та практичних знань щодо виявлення (дослідження) елементів нематеріальної культурної спадщини, формування повного переліку елементів НКС місцевого рівня проведено 2 дистанційних семінари-практикуми зі збору, ідентифікації та документування елементів нематеріальної культурної спадщини, охоплено 40 осіб.</w:t>
      </w:r>
    </w:p>
    <w:p w14:paraId="49E766FE" w14:textId="56F36224" w:rsidR="00287C00" w:rsidRPr="00FA5971" w:rsidRDefault="00B537E5" w:rsidP="00FA5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B537E5"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lastRenderedPageBreak/>
        <w:t>Треба відзначити роботу клубних установ області та Луганського обласного центру народної творчості,</w:t>
      </w:r>
      <w:r w:rsidRPr="00B537E5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37E5">
        <w:rPr>
          <w:sz w:val="28"/>
          <w:szCs w:val="28"/>
          <w:shd w:val="clear" w:color="auto" w:fill="FFFFFF"/>
          <w:lang w:val="uk-UA"/>
        </w:rPr>
        <w:t xml:space="preserve">які у зв’язку з карантинними обмеженнями </w:t>
      </w:r>
      <w:proofErr w:type="spellStart"/>
      <w:r w:rsidRPr="00B537E5">
        <w:rPr>
          <w:sz w:val="28"/>
          <w:szCs w:val="28"/>
          <w:shd w:val="clear" w:color="auto" w:fill="FFFFFF"/>
          <w:lang w:val="uk-UA"/>
        </w:rPr>
        <w:t>переформатували</w:t>
      </w:r>
      <w:proofErr w:type="spellEnd"/>
      <w:r w:rsidRPr="00B537E5">
        <w:rPr>
          <w:sz w:val="28"/>
          <w:szCs w:val="28"/>
          <w:shd w:val="clear" w:color="auto" w:fill="FFFFFF"/>
          <w:lang w:val="uk-UA"/>
        </w:rPr>
        <w:t xml:space="preserve"> свою діяльність на дистанційний режим та</w:t>
      </w:r>
      <w:r w:rsidRPr="00B537E5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37E5"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 xml:space="preserve">урізноманітнили вимушене перебування людей у чотирьох стінах онлайн конкурсами, квестами, презентаціями, виставками, екскурсіями, </w:t>
      </w:r>
      <w:proofErr w:type="spellStart"/>
      <w:r w:rsidRPr="00B537E5"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>челенджами</w:t>
      </w:r>
      <w:proofErr w:type="spellEnd"/>
      <w:r w:rsidRPr="00B537E5"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 xml:space="preserve"> тощо. </w:t>
      </w:r>
      <w:r w:rsidR="00287C00">
        <w:rPr>
          <w:sz w:val="28"/>
          <w:szCs w:val="28"/>
        </w:rPr>
        <w:t xml:space="preserve">      </w:t>
      </w:r>
    </w:p>
    <w:p w14:paraId="4D66EB99" w14:textId="77777777" w:rsidR="00287C00" w:rsidRDefault="00287C00" w:rsidP="00287C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 2020 році Програмою передбачені кошти обласного бюджету на реалізацію заходів у сумі 366,89 тис грн, спрямовано коштів обласного бюджету для реалізації програми –</w:t>
      </w:r>
      <w:r>
        <w:rPr>
          <w:b/>
          <w:sz w:val="28"/>
          <w:szCs w:val="28"/>
        </w:rPr>
        <w:t xml:space="preserve"> 174,54 </w:t>
      </w:r>
      <w:proofErr w:type="spellStart"/>
      <w:r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у 1 півріччі 2020 року кошти використані не були. </w:t>
      </w:r>
    </w:p>
    <w:p w14:paraId="006937CF" w14:textId="5208DEE9" w:rsidR="00287C00" w:rsidRDefault="00287C00" w:rsidP="00287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Економія коштів виникла за рахунок того, що у звітному періоді у зв’язку з карантинними обмеженнями</w:t>
      </w:r>
      <w:r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 xml:space="preserve"> через пандемію </w:t>
      </w:r>
      <w:proofErr w:type="spellStart"/>
      <w:r>
        <w:rPr>
          <w:rStyle w:val="a9"/>
          <w:i w:val="0"/>
          <w:iCs w:val="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більшість заходів проводились у дистанційному режимі і не потребували фінансування. </w:t>
      </w:r>
    </w:p>
    <w:p w14:paraId="5F8EB0E7" w14:textId="77777777" w:rsidR="00287C00" w:rsidRDefault="00287C00" w:rsidP="00287C00">
      <w:pPr>
        <w:pStyle w:val="a6"/>
        <w:spacing w:before="120"/>
        <w:ind w:firstLine="709"/>
        <w:rPr>
          <w:b/>
        </w:rPr>
      </w:pPr>
    </w:p>
    <w:p w14:paraId="6C0D35A5" w14:textId="77777777" w:rsidR="00287C00" w:rsidRDefault="00287C00" w:rsidP="00287C00">
      <w:pPr>
        <w:shd w:val="clear" w:color="auto" w:fill="FFFFFF"/>
        <w:ind w:right="5" w:firstLine="708"/>
        <w:jc w:val="both"/>
        <w:rPr>
          <w:sz w:val="28"/>
          <w:szCs w:val="28"/>
        </w:rPr>
      </w:pPr>
    </w:p>
    <w:p w14:paraId="51CFF2AD" w14:textId="77777777" w:rsidR="00287C00" w:rsidRDefault="00287C00" w:rsidP="00287C00">
      <w:pPr>
        <w:ind w:firstLine="600"/>
        <w:jc w:val="both"/>
        <w:rPr>
          <w:sz w:val="28"/>
          <w:szCs w:val="28"/>
        </w:rPr>
      </w:pPr>
    </w:p>
    <w:p w14:paraId="319DBAE1" w14:textId="77777777" w:rsidR="00287C00" w:rsidRDefault="00287C00" w:rsidP="00287C00">
      <w:pPr>
        <w:pStyle w:val="a6"/>
        <w:widowControl w:val="0"/>
        <w:suppressAutoHyphens/>
        <w:rPr>
          <w:sz w:val="28"/>
          <w:szCs w:val="28"/>
        </w:rPr>
      </w:pPr>
    </w:p>
    <w:p w14:paraId="4EE9D013" w14:textId="77777777" w:rsidR="00287C00" w:rsidRDefault="00287C00" w:rsidP="00287C00">
      <w:pPr>
        <w:pStyle w:val="a6"/>
        <w:ind w:firstLine="0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>правління культури,</w:t>
      </w:r>
      <w:r>
        <w:rPr>
          <w:sz w:val="28"/>
        </w:rPr>
        <w:t xml:space="preserve"> </w:t>
      </w:r>
      <w:r>
        <w:rPr>
          <w:sz w:val="28"/>
        </w:rPr>
        <w:t xml:space="preserve">національностей </w:t>
      </w:r>
    </w:p>
    <w:p w14:paraId="21E5CA9E" w14:textId="7AE051A6" w:rsidR="00287C00" w:rsidRPr="00287C00" w:rsidRDefault="00287C00" w:rsidP="00287C00">
      <w:pPr>
        <w:pStyle w:val="a6"/>
        <w:ind w:firstLine="0"/>
        <w:jc w:val="left"/>
        <w:rPr>
          <w:sz w:val="28"/>
        </w:rPr>
      </w:pPr>
      <w:r>
        <w:rPr>
          <w:sz w:val="28"/>
        </w:rPr>
        <w:t xml:space="preserve">та релігій облдержадміністрації                                                          </w:t>
      </w:r>
    </w:p>
    <w:p w14:paraId="7345BB92" w14:textId="77777777" w:rsidR="0067661A" w:rsidRPr="00287C00" w:rsidRDefault="0067661A" w:rsidP="00287C00"/>
    <w:sectPr w:rsidR="0067661A" w:rsidRPr="00287C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00"/>
    <w:rsid w:val="00287C00"/>
    <w:rsid w:val="002E1515"/>
    <w:rsid w:val="0067661A"/>
    <w:rsid w:val="006D58CA"/>
    <w:rsid w:val="00A108E9"/>
    <w:rsid w:val="00AA6786"/>
    <w:rsid w:val="00B537E5"/>
    <w:rsid w:val="00CF69D9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5735"/>
  <w15:chartTrackingRefBased/>
  <w15:docId w15:val="{EFCA2122-BCE3-4979-A16E-EA7254B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7C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287C00"/>
    <w:pPr>
      <w:ind w:right="-149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C0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7C00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7C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"/>
    <w:uiPriority w:val="99"/>
    <w:rsid w:val="00287C00"/>
    <w:pPr>
      <w:widowControl w:val="0"/>
      <w:suppressLineNumbers/>
      <w:suppressAutoHyphens/>
    </w:pPr>
    <w:rPr>
      <w:rFonts w:eastAsia="Andale Sans UI"/>
      <w:kern w:val="2"/>
      <w:sz w:val="24"/>
      <w:szCs w:val="24"/>
      <w:lang w:val="ru-RU" w:eastAsia="zh-CN"/>
    </w:rPr>
  </w:style>
  <w:style w:type="character" w:styleId="a9">
    <w:name w:val="Emphasis"/>
    <w:basedOn w:val="a0"/>
    <w:uiPriority w:val="20"/>
    <w:qFormat/>
    <w:rsid w:val="00287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2020-07-27T11:09:00Z</dcterms:created>
  <dcterms:modified xsi:type="dcterms:W3CDTF">2020-07-27T11:22:00Z</dcterms:modified>
</cp:coreProperties>
</file>