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D942" w14:textId="77777777" w:rsidR="009D34C5" w:rsidRPr="00DE4CDF" w:rsidRDefault="009D34C5" w:rsidP="00DE4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Методичні роз’яснення щодо </w:t>
      </w:r>
      <w:r w:rsidR="00DE4CDF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регуляторності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рішень органів місцевого самоврядування  про встановлення місцевих податків і зборів </w:t>
      </w:r>
      <w:r w:rsidR="00FA7A02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розрізі 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постанови Верховного суду від 10.12.2021 у справі № 0940/2301/18</w:t>
      </w:r>
    </w:p>
    <w:p w14:paraId="70888673" w14:textId="77777777" w:rsidR="00FA7A02" w:rsidRDefault="00FA7A02" w:rsidP="009D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409AE2F0" w14:textId="77777777" w:rsid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рамках судової справи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85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0940/2301/18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Верховним судом сформовано висновок про те, що рішення ОМС про встановлення місцевих податків і зборів не вважаються регуляторними актами.</w:t>
      </w:r>
    </w:p>
    <w:p w14:paraId="1100E017" w14:textId="77777777" w:rsidR="00335F9D" w:rsidRP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зв’язку з цим, ДРС надає такі роз’яснення: </w:t>
      </w:r>
    </w:p>
    <w:p w14:paraId="69A19018" w14:textId="77777777" w:rsidR="00335F9D" w:rsidRDefault="00335F9D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621DC55" w14:textId="3BD68673" w:rsidR="00DE4CDF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ДРС є уповноваженим органом у сфері реалізації державної регуляторної політики та наділена рядом спеціальних повноважень, визначених у ст. 30 Закону України «Про засади державної регуляторної політики у сфері господарської діяльності»</w:t>
      </w:r>
      <w:r w:rsidR="00983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(далі – Закон)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Положенні про ДРС тощо.</w:t>
      </w:r>
    </w:p>
    <w:p w14:paraId="4172A09E" w14:textId="61F0F038" w:rsidR="009836A9" w:rsidRPr="00E14BE7" w:rsidRDefault="009836A9" w:rsidP="00983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вимог статті 1 Закону </w:t>
      </w:r>
      <w:r w:rsidRPr="00E1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ОМС про встановлення місцевих податків і зборів мають ознаки регуляторних актів</w:t>
      </w: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оскільки ці рішення спрямовані на правове регулювання господарських відносин та щодо невизначеного кола осіб на відповідній адміністративно-територіальній одиниці, а також</w:t>
      </w:r>
      <w:r w:rsidR="00E14BE7"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встановлюють (змінюють) норми права для суб’єктів господарювання в частині розміру ставок податку, який має суттєвий вплив на результати ведення господарської діяльності.</w:t>
      </w:r>
    </w:p>
    <w:p w14:paraId="0C0E8D23" w14:textId="7BB7767D" w:rsidR="00DE4CDF" w:rsidRDefault="00E14B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Разом з цим, в</w:t>
      </w:r>
      <w:r w:rsidR="00DE4C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іднесення того чи іншого проекту акта чи вже прийнятого акта до категорії регуляторних є виключною компетенцією ДРС, її дискреційним повноваженням.</w:t>
      </w:r>
    </w:p>
    <w:p w14:paraId="25492CB1" w14:textId="77777777" w:rsidR="00B81F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Акт вважається регуляторним, якщо хоча б одна з норм у ньому регулює господарські або адміністративні відносини між владою та бізнесом. </w:t>
      </w:r>
    </w:p>
    <w:p w14:paraId="034445E4" w14:textId="623DA350" w:rsidR="00B81FE7" w:rsidRPr="00E14B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Факт наявності чи відсутності регуляторних норм у конкретному проекті акта можливо встановити лише після вивчення його повного тексту та додатків до нього. </w:t>
      </w:r>
      <w:r w:rsidRPr="00E14B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Встановлення цього факту є дискреційним повноваженням ДРС.</w:t>
      </w:r>
    </w:p>
    <w:p w14:paraId="6D39E928" w14:textId="77777777" w:rsidR="00DE4CDF" w:rsidRDefault="00DE4CDF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1B29F9D" w14:textId="265623DA" w:rsidR="009D34C5" w:rsidRPr="009D34C5" w:rsidRDefault="00E14BE7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з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гідно з позицією Верховного Суду, яка сформована у постановах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від 13.02.2018 у справі № 361/7567/15-а, від 07.03.2018 у справі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569/15527/16-а, від 20.03.2018 у справі № 61/2579/17, від 20.03.2018 у справі № 820/4554/17, від 03.04.2018 у справі № 569/16681/16-а та від 12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.04.2018 у справі № 826/8803/15та інших</w:t>
      </w:r>
      <w:r w:rsidR="00B81FE7" w:rsidRPr="00B81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D34C5" w:rsidRPr="00B81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«дискреційні повноваження - це можливість діяти за власним розсудом, в межах </w:t>
      </w:r>
      <w:hyperlink r:id="rId8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можливість застосувати норми </w:t>
      </w:r>
      <w:hyperlink r:id="rId9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 та вчинити конкретні дії (або дію) серед інших, кожні з яких окремо є відносно правильними (законними); відповідно до завдань адміністративного судочинства, визначених </w:t>
      </w:r>
      <w:hyperlink r:id="rId10" w:anchor="1432" w:tgtFrame="_blank" w:tooltip="Кодекс адміністративного судочинства України (ред. з 06.07.2005 до 15.12.2017); нормативно-правовий акт № 2747-IV від 06.07.2005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статтею 2 КАС України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адміністративний суд не наділений повноваженнями втручатися у вільний розсуд (</w:t>
      </w:r>
      <w:proofErr w:type="spellStart"/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дискрецію</w:t>
      </w:r>
      <w:proofErr w:type="spellEnd"/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 суб'єкта владних повноважень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поза межами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перевірки за критеріями визначеними статтею; завдання правосуддя полягає не у забезпеченні ефективності державного управління, а в гарантуванні дотримання вимог права,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інакше порушується принцип розподілу влади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принцип розподілу влади заперечує надання адміністративному суду адміністративно - дискреційних повноважень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єдиним критерієм здійснення правосуддя є право, тому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завданням адміністративного судочинства завжди є контроль легальності; перевірка доцільності переступає компетенцію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адміністративного суду і виходить за межі адміністративного судочинства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; адміністративний суд не може підміняти інший орган державної влади та перебирати на себе повноваження щодо вирішення питань, які законодавством віднесенні до компетенції цього органу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1CA23329" w14:textId="77777777"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чином, 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не може підміняти інший орган державної влади та перебирати на себе повноваження щодо вирішення питань, які законодавством віднесені до компетенції цього органу державної влади.</w:t>
      </w:r>
    </w:p>
    <w:p w14:paraId="15917FAB" w14:textId="77777777" w:rsidR="009D34C5" w:rsidRPr="00B81FE7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саме ДРС вправі реалізовувати державну регуляторну політику та висловлювати позицію</w:t>
      </w: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щодо віднесення акта чи іншого документа до категорії регуляторного акта, 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 не адміністративний суд чи </w:t>
      </w:r>
      <w:r w:rsidR="00FA7A02"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інший орган влади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09DB7973" w14:textId="77777777"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14E57D8" w14:textId="77777777" w:rsidR="00FA7A02" w:rsidRDefault="00FA7A02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8CFC4B" w14:textId="47C28E5F" w:rsidR="00853389" w:rsidRPr="00335F9D" w:rsidRDefault="00E14BE7" w:rsidP="0033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40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853389" w:rsidRPr="0040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338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2015 – 2018 роках на виконання вимог законів України від 28.12.2014 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br/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№ 71-VIII «Про внесення змін до Податкового кодексу України та деяких законодавчих актів України щодо податкової реформи», від 24.12.2015 № 909-VIII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від 20.12.2016 №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1791-VIII «Про внесення змін до Податкового кодексу України щодо покращення інвестиційного клімату в Україні», від 21.12.2016 № 1797-VI «Про внесення змін до Податкового кодексу України щодо покращення інвестиційного клімату в Україні», від 07.12.2017 № 2245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</w:t>
      </w:r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до рішень органів місцевого самоврядування про встановлення місцевих податків і зборів, які прийняті на виконання цих законів, не </w:t>
      </w:r>
      <w:bookmarkStart w:id="0" w:name="_Hlk44591696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>застосовувалися вимоги</w:t>
      </w:r>
      <w:bookmarkEnd w:id="0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, встановлені </w:t>
      </w:r>
      <w:r w:rsidR="00853389" w:rsidRPr="00335F9D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335F9D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України «Про засади державної регуляторної політики у сфері господарської діяльності»</w:t>
      </w:r>
    </w:p>
    <w:p w14:paraId="6CB7A8C7" w14:textId="77777777" w:rsidR="00853389" w:rsidRPr="00853389" w:rsidRDefault="00335F9D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введення та тимчасовість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відповідних обмежень свідчить 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законодавче визнання поширення вимог закону у сфері регуляторної політики та рішення ОМС про встановлення місцевих податків та зборів, а також про 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відсутність бажання змінити чи скасувати дію означених норм щодо означеного кола правовідносин назавжди, тобто про усвідомлення законодавцем їх важливості для сталого й передбачуваного правозастосування у сфері адміністрування окремих податків та визнання необхідності залишити їх чинними після закінчення обставин, що спричинили бюджетну потребу у їх зупиненні.</w:t>
      </w:r>
    </w:p>
    <w:p w14:paraId="5CD2CAD5" w14:textId="77777777" w:rsidR="00853389" w:rsidRPr="00853389" w:rsidRDefault="00853389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Незмінність змісту безпосередньо самих зупинених законодавчих приписів означає визнання законодавцем їх відповідності та узгодженості з Конституцією та іншими законами України з питань оподаткування.</w:t>
      </w:r>
    </w:p>
    <w:p w14:paraId="1DBC46FD" w14:textId="77777777" w:rsidR="00853389" w:rsidRPr="00853389" w:rsidRDefault="00853389" w:rsidP="00853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Невнесення змін безпосередньо до тексту П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t>одаткового Кодексу</w:t>
      </w:r>
      <w:r w:rsidRPr="00853389">
        <w:rPr>
          <w:rFonts w:ascii="Times New Roman" w:eastAsia="Times New Roman" w:hAnsi="Times New Roman" w:cs="Times New Roman"/>
          <w:sz w:val="28"/>
          <w:szCs w:val="28"/>
        </w:rPr>
        <w:t xml:space="preserve"> України додатково свідчить про небажання законодавця дискримінувати платників окремих податків порівняно з іншими.</w:t>
      </w:r>
    </w:p>
    <w:p w14:paraId="5AFC2A2E" w14:textId="77777777" w:rsidR="00853389" w:rsidRDefault="00853389" w:rsidP="00BE480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30A95AA" w14:textId="6044F585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Підсумовуючи зазначаємо, що сама лише постанова Верховного суду, прийнята відносно конкретного рішення, не свідчить про презумпцію того, що рішення ОМС про встановлення місцевих податків та зборів не є регуляторними актами</w:t>
      </w:r>
      <w:r w:rsidR="00411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 w:rsidR="00411790"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являється оціночним твердженням, викладеним у мотивувальній частині цієї постанови</w:t>
      </w:r>
      <w:r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</w:p>
    <w:p w14:paraId="508BE2A1" w14:textId="08500CAB" w:rsidR="00D05DEC" w:rsidRPr="00D05DEC" w:rsidRDefault="00D05DE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Одночасно зазначаємо, що віднесення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рішень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категорії регуляторних актів можливе лише за умови аналізу ДРС їх повного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офіційного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тексту. </w:t>
      </w:r>
    </w:p>
    <w:p w14:paraId="581C8FDF" w14:textId="77777777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Висновок про віднесення конкретного проекту акта до категорії регуляторних може сформувати лише уповноважений орган – ДРС.</w:t>
      </w:r>
    </w:p>
    <w:p w14:paraId="40701465" w14:textId="05B4F1A9" w:rsidR="001E6E4A" w:rsidRDefault="00CC626C" w:rsidP="00FB7BB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огляду на положення ст. 19 Конституції України, ОМС мають діяти в межах та спосіб, передбачені саме законом, а не керуватися принципом судового прецеденту.</w:t>
      </w:r>
    </w:p>
    <w:sectPr w:rsidR="001E6E4A" w:rsidSect="00FB7BBA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2E76" w14:textId="77777777" w:rsidR="001D5B66" w:rsidRDefault="001D5B66" w:rsidP="00FB7BBA">
      <w:pPr>
        <w:spacing w:after="0" w:line="240" w:lineRule="auto"/>
      </w:pPr>
      <w:r>
        <w:separator/>
      </w:r>
    </w:p>
  </w:endnote>
  <w:endnote w:type="continuationSeparator" w:id="0">
    <w:p w14:paraId="19631610" w14:textId="77777777" w:rsidR="001D5B66" w:rsidRDefault="001D5B66" w:rsidP="00FB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E613" w14:textId="77777777" w:rsidR="001D5B66" w:rsidRDefault="001D5B66" w:rsidP="00FB7BBA">
      <w:pPr>
        <w:spacing w:after="0" w:line="240" w:lineRule="auto"/>
      </w:pPr>
      <w:r>
        <w:separator/>
      </w:r>
    </w:p>
  </w:footnote>
  <w:footnote w:type="continuationSeparator" w:id="0">
    <w:p w14:paraId="4A20DFA5" w14:textId="77777777" w:rsidR="001D5B66" w:rsidRDefault="001D5B66" w:rsidP="00FB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09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0DAF59" w14:textId="4B6880F9" w:rsidR="00FB7BBA" w:rsidRPr="00FB7BBA" w:rsidRDefault="00FB7BBA">
        <w:pPr>
          <w:pStyle w:val="a5"/>
          <w:jc w:val="center"/>
          <w:rPr>
            <w:rFonts w:ascii="Times New Roman" w:hAnsi="Times New Roman" w:cs="Times New Roman"/>
          </w:rPr>
        </w:pPr>
        <w:r w:rsidRPr="00FB7BBA">
          <w:rPr>
            <w:rFonts w:ascii="Times New Roman" w:hAnsi="Times New Roman" w:cs="Times New Roman"/>
          </w:rPr>
          <w:fldChar w:fldCharType="begin"/>
        </w:r>
        <w:r w:rsidRPr="00FB7BBA">
          <w:rPr>
            <w:rFonts w:ascii="Times New Roman" w:hAnsi="Times New Roman" w:cs="Times New Roman"/>
          </w:rPr>
          <w:instrText>PAGE   \* MERGEFORMAT</w:instrText>
        </w:r>
        <w:r w:rsidRPr="00FB7BBA">
          <w:rPr>
            <w:rFonts w:ascii="Times New Roman" w:hAnsi="Times New Roman" w:cs="Times New Roman"/>
          </w:rPr>
          <w:fldChar w:fldCharType="separate"/>
        </w:r>
        <w:r w:rsidRPr="00FB7BBA">
          <w:rPr>
            <w:rFonts w:ascii="Times New Roman" w:hAnsi="Times New Roman" w:cs="Times New Roman"/>
            <w:lang w:val="ru-RU"/>
          </w:rPr>
          <w:t>2</w:t>
        </w:r>
        <w:r w:rsidRPr="00FB7BBA">
          <w:rPr>
            <w:rFonts w:ascii="Times New Roman" w:hAnsi="Times New Roman" w:cs="Times New Roman"/>
          </w:rPr>
          <w:fldChar w:fldCharType="end"/>
        </w:r>
      </w:p>
    </w:sdtContent>
  </w:sdt>
  <w:p w14:paraId="2505AE7D" w14:textId="77777777" w:rsidR="00FB7BBA" w:rsidRDefault="00FB7B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30CF"/>
    <w:multiLevelType w:val="hybridMultilevel"/>
    <w:tmpl w:val="B44A2F48"/>
    <w:lvl w:ilvl="0" w:tplc="97BA5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B0E77"/>
    <w:multiLevelType w:val="hybridMultilevel"/>
    <w:tmpl w:val="9EC69D40"/>
    <w:lvl w:ilvl="0" w:tplc="F31E50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54610E"/>
    <w:multiLevelType w:val="hybridMultilevel"/>
    <w:tmpl w:val="81C00ECC"/>
    <w:lvl w:ilvl="0" w:tplc="EEF6F3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A67F3D"/>
    <w:multiLevelType w:val="hybridMultilevel"/>
    <w:tmpl w:val="DEF4DECA"/>
    <w:lvl w:ilvl="0" w:tplc="CB644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D0428A"/>
    <w:multiLevelType w:val="hybridMultilevel"/>
    <w:tmpl w:val="29561F9C"/>
    <w:lvl w:ilvl="0" w:tplc="9E84D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63538E"/>
    <w:multiLevelType w:val="hybridMultilevel"/>
    <w:tmpl w:val="4942F26C"/>
    <w:lvl w:ilvl="0" w:tplc="908A83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5"/>
    <w:rsid w:val="00151C54"/>
    <w:rsid w:val="001D5B66"/>
    <w:rsid w:val="001E6E4A"/>
    <w:rsid w:val="002617DC"/>
    <w:rsid w:val="00335F9D"/>
    <w:rsid w:val="00394E34"/>
    <w:rsid w:val="00407BB9"/>
    <w:rsid w:val="00411790"/>
    <w:rsid w:val="00585C01"/>
    <w:rsid w:val="005C2C3C"/>
    <w:rsid w:val="00853389"/>
    <w:rsid w:val="008A36B0"/>
    <w:rsid w:val="009836A9"/>
    <w:rsid w:val="009D34C5"/>
    <w:rsid w:val="00B26B4B"/>
    <w:rsid w:val="00B81FE7"/>
    <w:rsid w:val="00BE4802"/>
    <w:rsid w:val="00C42E3D"/>
    <w:rsid w:val="00CC626C"/>
    <w:rsid w:val="00D049E7"/>
    <w:rsid w:val="00D05DEC"/>
    <w:rsid w:val="00DE4CDF"/>
    <w:rsid w:val="00E04A0D"/>
    <w:rsid w:val="00E14BE7"/>
    <w:rsid w:val="00F65321"/>
    <w:rsid w:val="00FA7A02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D86F"/>
  <w15:docId w15:val="{963E682B-72BB-42D1-9A61-7340709F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02"/>
    <w:pPr>
      <w:ind w:left="720"/>
      <w:contextualSpacing/>
    </w:pPr>
  </w:style>
  <w:style w:type="character" w:styleId="a4">
    <w:name w:val="Strong"/>
    <w:basedOn w:val="a0"/>
    <w:uiPriority w:val="22"/>
    <w:qFormat/>
    <w:rsid w:val="009836A9"/>
    <w:rPr>
      <w:b/>
      <w:bCs/>
    </w:rPr>
  </w:style>
  <w:style w:type="character" w:customStyle="1" w:styleId="2">
    <w:name w:val="Основной текст (2)_"/>
    <w:link w:val="20"/>
    <w:rsid w:val="0041179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790"/>
    <w:pPr>
      <w:widowControl w:val="0"/>
      <w:shd w:val="clear" w:color="auto" w:fill="FFFFFF"/>
      <w:spacing w:before="420" w:after="0" w:line="331" w:lineRule="exact"/>
      <w:jc w:val="both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B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BBA"/>
  </w:style>
  <w:style w:type="paragraph" w:styleId="a7">
    <w:name w:val="footer"/>
    <w:basedOn w:val="a"/>
    <w:link w:val="a8"/>
    <w:uiPriority w:val="99"/>
    <w:unhideWhenUsed/>
    <w:rsid w:val="00FB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5_06_02/pravo1/T041808.html?prav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an_1432/ed_2017_08_03/pravo1/T052747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ed_2015_06_02/pravo1/T041808.html?pravo=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41DF2-9C3D-42E5-8D8F-9D7AC6D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Мандзюк</dc:creator>
  <cp:keywords/>
  <dc:description/>
  <cp:lastModifiedBy>office uchet61</cp:lastModifiedBy>
  <cp:revision>3</cp:revision>
  <dcterms:created xsi:type="dcterms:W3CDTF">2022-01-05T13:08:00Z</dcterms:created>
  <dcterms:modified xsi:type="dcterms:W3CDTF">2022-01-12T13:12:00Z</dcterms:modified>
</cp:coreProperties>
</file>