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E1E21" w14:textId="3E34DAC2" w:rsidR="00110E42" w:rsidRDefault="00A21E6F" w:rsidP="00DC3410">
      <w:pPr>
        <w:rPr>
          <w:noProof/>
          <w:lang w:val="uk-UA"/>
        </w:rPr>
      </w:pPr>
      <w:r>
        <w:rPr>
          <w:noProof/>
        </w:rPr>
        <w:drawing>
          <wp:inline distT="0" distB="0" distL="0" distR="0" wp14:anchorId="4012D828" wp14:editId="18A0F62B">
            <wp:extent cx="5105400" cy="36099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DC3410">
        <w:rPr>
          <w:noProof/>
          <w:lang w:val="uk-UA"/>
        </w:rPr>
        <w:t xml:space="preserve">       </w:t>
      </w:r>
      <w:r w:rsidR="003503FD">
        <w:rPr>
          <w:noProof/>
        </w:rPr>
        <w:drawing>
          <wp:inline distT="0" distB="0" distL="0" distR="0" wp14:anchorId="630D33B0" wp14:editId="1E94D784">
            <wp:extent cx="4950460" cy="3590925"/>
            <wp:effectExtent l="0" t="0" r="2540" b="952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EE1E6CC9-E677-4853-86D7-C0B912B9098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AF06750" w14:textId="58E39189" w:rsidR="00110E42" w:rsidRDefault="00110E42" w:rsidP="00DC3410">
      <w:pPr>
        <w:rPr>
          <w:noProof/>
          <w:lang w:val="uk-UA"/>
        </w:rPr>
      </w:pPr>
    </w:p>
    <w:p w14:paraId="2D53271D" w14:textId="64B89E92" w:rsidR="00DA1861" w:rsidRDefault="00DA1861" w:rsidP="00DC3410">
      <w:pPr>
        <w:rPr>
          <w:noProof/>
          <w:lang w:val="uk-UA"/>
        </w:rPr>
      </w:pPr>
    </w:p>
    <w:p w14:paraId="19A83B1B" w14:textId="65F03C25" w:rsidR="00776416" w:rsidRDefault="00776416" w:rsidP="00DC3410">
      <w:pPr>
        <w:rPr>
          <w:noProof/>
          <w:lang w:val="uk-UA"/>
        </w:rPr>
      </w:pPr>
    </w:p>
    <w:p w14:paraId="4C404044" w14:textId="57EE4EF6" w:rsidR="00776416" w:rsidRDefault="00776416" w:rsidP="00DC3410">
      <w:pPr>
        <w:rPr>
          <w:noProof/>
          <w:lang w:val="uk-UA"/>
        </w:rPr>
      </w:pPr>
    </w:p>
    <w:p w14:paraId="6C582089" w14:textId="0BE51A90" w:rsidR="00776416" w:rsidRDefault="00776416" w:rsidP="00DC3410">
      <w:pPr>
        <w:rPr>
          <w:noProof/>
          <w:lang w:val="uk-UA"/>
        </w:rPr>
      </w:pPr>
    </w:p>
    <w:p w14:paraId="6F38C447" w14:textId="6FCEB9F2" w:rsidR="00776416" w:rsidRDefault="00776416" w:rsidP="00DC3410">
      <w:pPr>
        <w:rPr>
          <w:noProof/>
          <w:lang w:val="uk-UA"/>
        </w:rPr>
      </w:pPr>
    </w:p>
    <w:p w14:paraId="68C07751" w14:textId="3AAE48C0" w:rsidR="00776416" w:rsidRDefault="00776416" w:rsidP="00DC3410">
      <w:pPr>
        <w:rPr>
          <w:noProof/>
          <w:lang w:val="uk-UA"/>
        </w:rPr>
      </w:pPr>
    </w:p>
    <w:p w14:paraId="42C70FEF" w14:textId="1C32EA36" w:rsidR="00DC3410" w:rsidRDefault="00DC3410" w:rsidP="00DC3410">
      <w:pPr>
        <w:rPr>
          <w:noProof/>
        </w:rPr>
      </w:pPr>
    </w:p>
    <w:p w14:paraId="7B27376B" w14:textId="5B5AEC17" w:rsidR="00DC3410" w:rsidRDefault="00A16C90" w:rsidP="00DC3410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A201EBF" wp14:editId="509EB0C4">
            <wp:extent cx="9886950" cy="5419725"/>
            <wp:effectExtent l="0" t="0" r="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26D7075" w14:textId="131D8637" w:rsidR="009E02A1" w:rsidRDefault="009E02A1" w:rsidP="0099630B">
      <w:pPr>
        <w:rPr>
          <w:noProof/>
        </w:rPr>
      </w:pPr>
    </w:p>
    <w:p w14:paraId="6EB2B2A3" w14:textId="4202B489" w:rsidR="00872C75" w:rsidRDefault="00872C75" w:rsidP="0099630B">
      <w:pPr>
        <w:rPr>
          <w:noProof/>
        </w:rPr>
      </w:pPr>
    </w:p>
    <w:p w14:paraId="7CD4C275" w14:textId="6FE22ED9" w:rsidR="00872C75" w:rsidRDefault="00872C75" w:rsidP="00872C75">
      <w:pPr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32C3052" wp14:editId="04AF1AC9">
            <wp:simplePos x="0" y="0"/>
            <wp:positionH relativeFrom="column">
              <wp:posOffset>1229360</wp:posOffset>
            </wp:positionH>
            <wp:positionV relativeFrom="paragraph">
              <wp:posOffset>635</wp:posOffset>
            </wp:positionV>
            <wp:extent cx="7886700" cy="6010275"/>
            <wp:effectExtent l="0" t="0" r="0" b="9525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14:paraId="529E80F3" w14:textId="77777777" w:rsidR="00872C75" w:rsidRDefault="00872C75" w:rsidP="0099630B">
      <w:pPr>
        <w:rPr>
          <w:noProof/>
        </w:rPr>
      </w:pPr>
    </w:p>
    <w:p w14:paraId="59DF7C10" w14:textId="53644501" w:rsidR="009E02A1" w:rsidRPr="0024277B" w:rsidRDefault="009E02A1" w:rsidP="0024277B">
      <w:pPr>
        <w:tabs>
          <w:tab w:val="left" w:pos="2952"/>
        </w:tabs>
      </w:pPr>
    </w:p>
    <w:sectPr w:rsidR="009E02A1" w:rsidRPr="0024277B" w:rsidSect="00776416">
      <w:pgSz w:w="16838" w:h="11906" w:orient="landscape"/>
      <w:pgMar w:top="2127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464"/>
    <w:rsid w:val="000319A2"/>
    <w:rsid w:val="00036077"/>
    <w:rsid w:val="000577DB"/>
    <w:rsid w:val="00066855"/>
    <w:rsid w:val="00073C94"/>
    <w:rsid w:val="000C69DA"/>
    <w:rsid w:val="000F06EC"/>
    <w:rsid w:val="001020AB"/>
    <w:rsid w:val="001025DD"/>
    <w:rsid w:val="00110E42"/>
    <w:rsid w:val="001134EF"/>
    <w:rsid w:val="001632CF"/>
    <w:rsid w:val="0017435E"/>
    <w:rsid w:val="001B3951"/>
    <w:rsid w:val="0024277B"/>
    <w:rsid w:val="00246B7B"/>
    <w:rsid w:val="00273F3D"/>
    <w:rsid w:val="002C13CE"/>
    <w:rsid w:val="00304E56"/>
    <w:rsid w:val="003503FD"/>
    <w:rsid w:val="00363813"/>
    <w:rsid w:val="00365846"/>
    <w:rsid w:val="00366AC0"/>
    <w:rsid w:val="003E2149"/>
    <w:rsid w:val="004503EC"/>
    <w:rsid w:val="0045170A"/>
    <w:rsid w:val="00495C9C"/>
    <w:rsid w:val="004E4C30"/>
    <w:rsid w:val="0054724E"/>
    <w:rsid w:val="00556277"/>
    <w:rsid w:val="005B2372"/>
    <w:rsid w:val="005D384F"/>
    <w:rsid w:val="0063725F"/>
    <w:rsid w:val="00637ADB"/>
    <w:rsid w:val="00654789"/>
    <w:rsid w:val="0069060B"/>
    <w:rsid w:val="006D0B77"/>
    <w:rsid w:val="006D3771"/>
    <w:rsid w:val="00702026"/>
    <w:rsid w:val="007479EE"/>
    <w:rsid w:val="00774A53"/>
    <w:rsid w:val="00776416"/>
    <w:rsid w:val="007A49FE"/>
    <w:rsid w:val="007A5E96"/>
    <w:rsid w:val="00802C52"/>
    <w:rsid w:val="00850154"/>
    <w:rsid w:val="00851529"/>
    <w:rsid w:val="00853C6A"/>
    <w:rsid w:val="00872C75"/>
    <w:rsid w:val="008779B3"/>
    <w:rsid w:val="008954F3"/>
    <w:rsid w:val="008A37D8"/>
    <w:rsid w:val="00973103"/>
    <w:rsid w:val="0099630B"/>
    <w:rsid w:val="009E02A1"/>
    <w:rsid w:val="00A1335B"/>
    <w:rsid w:val="00A16C90"/>
    <w:rsid w:val="00A21E6F"/>
    <w:rsid w:val="00A43566"/>
    <w:rsid w:val="00C00F72"/>
    <w:rsid w:val="00C20292"/>
    <w:rsid w:val="00C374B1"/>
    <w:rsid w:val="00C9668E"/>
    <w:rsid w:val="00CF0467"/>
    <w:rsid w:val="00D43DB0"/>
    <w:rsid w:val="00DA1861"/>
    <w:rsid w:val="00DC3410"/>
    <w:rsid w:val="00E07ECA"/>
    <w:rsid w:val="00EE14D0"/>
    <w:rsid w:val="00F46464"/>
    <w:rsid w:val="00F55348"/>
    <w:rsid w:val="00FA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B0846"/>
  <w15:chartTrackingRefBased/>
  <w15:docId w15:val="{B058A33A-BE85-4991-A17A-27657134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1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Book Antiqua" panose="02040602050305030304" pitchFamily="18" charset="0"/>
                <a:ea typeface="+mn-ea"/>
                <a:cs typeface="+mn-cs"/>
              </a:defRPr>
            </a:pPr>
            <a:r>
              <a:rPr lang="ru-RU" sz="1400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rPr>
              <a:t>Всього НАДІЙШЛО</a:t>
            </a:r>
            <a:r>
              <a:rPr lang="ru-RU" sz="1400" baseline="0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rPr>
              <a:t> </a:t>
            </a:r>
            <a:r>
              <a:rPr lang="uk-UA" sz="1400" baseline="0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rPr>
              <a:t>3534 </a:t>
            </a:r>
            <a:r>
              <a:rPr lang="ru-RU" sz="1400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rPr>
              <a:t>звернень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Book Antiqua" panose="02040602050305030304" pitchFamily="18" charset="0"/>
              <a:ea typeface="+mn-ea"/>
              <a:cs typeface="+mn-cs"/>
            </a:defRPr>
          </a:pPr>
          <a:endParaRPr lang="uk-UA"/>
        </a:p>
      </c:txPr>
    </c:title>
    <c:autoTitleDeleted val="0"/>
    <c:plotArea>
      <c:layout>
        <c:manualLayout>
          <c:layoutTarget val="inner"/>
          <c:xMode val="edge"/>
          <c:yMode val="edge"/>
          <c:x val="9.7325772711246913E-2"/>
          <c:y val="0.28327246328251526"/>
          <c:w val="0.82027382771183455"/>
          <c:h val="0.71669989389624167"/>
        </c:manualLayout>
      </c:layout>
      <c:ofPieChart>
        <c:ofPieType val="pie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Iквартал 2019 року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852B-445B-B9F1-1280D441CC9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52B-445B-B9F1-1280D441CC9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52B-445B-B9F1-1280D441CC9D}"/>
              </c:ext>
            </c:extLst>
          </c:dPt>
          <c:dLbls>
            <c:dLbl>
              <c:idx val="0"/>
              <c:layout>
                <c:manualLayout>
                  <c:x val="2.1144278606965175E-2"/>
                  <c:y val="3.8731095536702245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0F3F171-0EE7-4AA5-9F88-B0F93B6049F9}" type="CATEGORYNAME">
                      <a:rPr lang="uk-UA">
                        <a:latin typeface="Book Antiqua" panose="02040602050305030304" pitchFamily="18" charset="0"/>
                      </a:rPr>
                      <a:pPr>
                        <a:defRPr/>
                      </a:pPr>
                      <a:t>[ИМЯ КАТЕГОРИИ]</a:t>
                    </a:fld>
                    <a:endParaRPr lang="uk-UA" baseline="0">
                      <a:latin typeface="Book Antiqua" panose="02040602050305030304" pitchFamily="18" charset="0"/>
                    </a:endParaRPr>
                  </a:p>
                  <a:p>
                    <a:pPr>
                      <a:defRPr/>
                    </a:pPr>
                    <a:r>
                      <a:rPr lang="uk-UA"/>
                      <a:t>2450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4472C4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2417694989618836"/>
                      <c:h val="0.3894628765281137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852B-445B-B9F1-1280D441CC9D}"/>
                </c:ext>
              </c:extLst>
            </c:dLbl>
            <c:dLbl>
              <c:idx val="1"/>
              <c:layout>
                <c:manualLayout>
                  <c:x val="0.24253731343283572"/>
                  <c:y val="0.1862779809292558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81ED6B0-6C57-4724-8869-1BC10A85107A}" type="CATEGORYNAME">
                      <a:rPr lang="uk-UA" sz="1000">
                        <a:latin typeface="Book Antiqua" panose="02040602050305030304" pitchFamily="18" charset="0"/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endParaRPr lang="uk-UA" sz="1000" baseline="0">
                      <a:latin typeface="Book Antiqua" panose="02040602050305030304" pitchFamily="18" charset="0"/>
                    </a:endParaRPr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uk-UA" sz="1000" baseline="0">
                        <a:latin typeface="Book Antiqua" panose="02040602050305030304" pitchFamily="18" charset="0"/>
                      </a:rPr>
                      <a:t> 1084 (звернення 366, консультації 718)</a:t>
                    </a:r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endParaRPr lang="uk-UA"/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4472C4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910306734046304"/>
                      <c:h val="0.5098891364142004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52B-445B-B9F1-1280D441CC9D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3-852B-445B-B9F1-1280D441CC9D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rgbClr val="4472C4"/>
                </a:solidFill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Лист1!$A$2:$A$3</c:f>
              <c:strCache>
                <c:ptCount val="2"/>
                <c:pt idx="0">
                  <c:v>Урядова гаряча лінія</c:v>
                </c:pt>
                <c:pt idx="1">
                  <c:v>Гаряча лінія облдержадміністрації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2450</c:v>
                </c:pt>
                <c:pt idx="1">
                  <c:v>1084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2B-445B-B9F1-1280D441CC9D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gapWidth val="150"/>
        <c:secondPieSize val="75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normalizeH="0" baseline="0">
                <a:solidFill>
                  <a:schemeClr val="accent1">
                    <a:lumMod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kumimoji="0" lang="ru-RU" sz="1400" b="1" i="0" u="none" strike="noStrike" kern="1200" cap="none" spc="0" normalizeH="0" baseline="0" noProof="0">
                <a:ln>
                  <a:noFill/>
                </a:ln>
                <a:solidFill>
                  <a:schemeClr val="accent1">
                    <a:lumMod val="50000"/>
                  </a:schemeClr>
                </a:solidFill>
                <a:effectLst/>
                <a:uLnTx/>
                <a:uFillTx/>
                <a:latin typeface="Book Antiqua" panose="02040602050305030304" pitchFamily="18" charset="0"/>
              </a:rPr>
              <a:t>НАДІСЛАНО НА РОЗГЛЯД  </a:t>
            </a:r>
          </a:p>
          <a:p>
            <a:pPr>
              <a:defRPr sz="1400">
                <a:solidFill>
                  <a:schemeClr val="accent1">
                    <a:lumMod val="50000"/>
                  </a:schemeClr>
                </a:solidFill>
              </a:defRPr>
            </a:pPr>
            <a:r>
              <a:rPr kumimoji="0" lang="ru-RU" sz="1400" b="1" i="0" u="none" strike="noStrike" kern="1200" cap="none" spc="0" normalizeH="0" baseline="0" noProof="0">
                <a:ln>
                  <a:noFill/>
                </a:ln>
                <a:solidFill>
                  <a:schemeClr val="accent1">
                    <a:lumMod val="50000"/>
                  </a:schemeClr>
                </a:solidFill>
                <a:effectLst/>
                <a:uLnTx/>
                <a:uFillTx/>
                <a:latin typeface="Book Antiqua" panose="02040602050305030304" pitchFamily="18" charset="0"/>
              </a:rPr>
              <a:t>2816 ЗВЕРНЕНЬ</a:t>
            </a:r>
          </a:p>
        </c:rich>
      </c:tx>
      <c:layout>
        <c:manualLayout>
          <c:xMode val="edge"/>
          <c:yMode val="edge"/>
          <c:x val="0.24473442871975534"/>
          <c:y val="2.213205459240132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normalizeH="0" baseline="0">
              <a:solidFill>
                <a:schemeClr val="accent1">
                  <a:lumMod val="50000"/>
                </a:schemeClr>
              </a:solidFill>
              <a:latin typeface="+mj-lt"/>
              <a:ea typeface="+mj-ea"/>
              <a:cs typeface="+mj-cs"/>
            </a:defRPr>
          </a:pPr>
          <a:endParaRPr lang="uk-UA"/>
        </a:p>
      </c:txPr>
    </c:title>
    <c:autoTitleDeleted val="0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3B8-4920-A137-B900D1ED2216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3B8-4920-A137-B900D1ED2216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3B8-4920-A137-B900D1ED2216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3B8-4920-A137-B900D1ED2216}"/>
              </c:ext>
            </c:extLst>
          </c:dPt>
          <c:dLbls>
            <c:dLbl>
              <c:idx val="0"/>
              <c:layout>
                <c:manualLayout>
                  <c:x val="0.15474378488077117"/>
                  <c:y val="-7.6586433260393869E-2"/>
                </c:manualLayout>
              </c:layout>
              <c:tx>
                <c:rich>
                  <a:bodyPr/>
                  <a:lstStyle/>
                  <a:p>
                    <a:fld id="{D17E0E8D-5432-4AF3-81AA-0EEC706F69F2}" type="VALUE">
                      <a:rPr lang="en-US"/>
                      <a:pPr/>
                      <a:t>[ЗНАЧЕНИЕ]</a:t>
                    </a:fld>
                    <a:endParaRPr lang="uk-UA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B3B8-4920-A137-B900D1ED2216}"/>
                </c:ext>
              </c:extLst>
            </c:dLbl>
            <c:dLbl>
              <c:idx val="1"/>
              <c:layout>
                <c:manualLayout>
                  <c:x val="-8.3713850837138504E-2"/>
                  <c:y val="-8.3880379285193318E-2"/>
                </c:manualLayout>
              </c:layout>
              <c:tx>
                <c:rich>
                  <a:bodyPr/>
                  <a:lstStyle/>
                  <a:p>
                    <a:fld id="{2C8C3D4D-54AC-4077-9732-277357A8CCC9}" type="VALUE">
                      <a:rPr lang="en-US"/>
                      <a:pPr/>
                      <a:t>[ЗНАЧЕНИЕ]</a:t>
                    </a:fld>
                    <a:endParaRPr lang="uk-UA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B3B8-4920-A137-B900D1ED2216}"/>
                </c:ext>
              </c:extLst>
            </c:dLbl>
            <c:dLbl>
              <c:idx val="2"/>
              <c:layout>
                <c:manualLayout>
                  <c:x val="-3.2978183663115168E-2"/>
                  <c:y val="-0.12399708242159012"/>
                </c:manualLayout>
              </c:layout>
              <c:tx>
                <c:rich>
                  <a:bodyPr/>
                  <a:lstStyle/>
                  <a:p>
                    <a:fld id="{BCB87448-4183-44E6-B46F-6235F59C80F6}" type="VALUE">
                      <a:rPr lang="en-US"/>
                      <a:pPr/>
                      <a:t>[ЗНАЧЕНИЕ]</a:t>
                    </a:fld>
                    <a:endParaRPr lang="uk-UA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B3B8-4920-A137-B900D1ED2216}"/>
                </c:ext>
              </c:extLst>
            </c:dLbl>
            <c:dLbl>
              <c:idx val="3"/>
              <c:layout>
                <c:manualLayout>
                  <c:x val="3.8051750380517502E-2"/>
                  <c:y val="-0.11305616338439098"/>
                </c:manualLayout>
              </c:layout>
              <c:tx>
                <c:rich>
                  <a:bodyPr/>
                  <a:lstStyle/>
                  <a:p>
                    <a:fld id="{05CD47BD-7CEB-4DCA-A345-9653B168B830}" type="VALUE">
                      <a:rPr lang="en-US"/>
                      <a:pPr/>
                      <a:t>[ЗНАЧЕНИЕ]</a:t>
                    </a:fld>
                    <a:endParaRPr lang="uk-UA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B3B8-4920-A137-B900D1ED2216}"/>
                </c:ext>
              </c:extLst>
            </c:dLbl>
            <c:numFmt formatCode="0.00%" sourceLinked="0"/>
            <c:spPr>
              <a:solidFill>
                <a:sysClr val="window" lastClr="FFFFFF">
                  <a:alpha val="75000"/>
                </a:sysClr>
              </a:solidFill>
              <a:ln w="9525"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Book Antiqua" panose="02040602050305030304" pitchFamily="18" charset="0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Лист1!$A$1:$A$4</c:f>
              <c:strCache>
                <c:ptCount val="4"/>
                <c:pt idx="0">
                  <c:v>Місцеві органи виконавчої влади та місцевого самоврядування</c:v>
                </c:pt>
                <c:pt idx="1">
                  <c:v>Структурні підрозділи облдержадміністрації</c:v>
                </c:pt>
                <c:pt idx="2">
                  <c:v>Територіальні підрозділи центральних органів виконавчої влади</c:v>
                </c:pt>
                <c:pt idx="3">
                  <c:v>ПАТ "Луганськгаз"</c:v>
                </c:pt>
              </c:strCache>
            </c:strRef>
          </c:cat>
          <c:val>
            <c:numRef>
              <c:f>Лист1!$B$1:$B$4</c:f>
              <c:numCache>
                <c:formatCode>0.0%</c:formatCode>
                <c:ptCount val="4"/>
                <c:pt idx="0">
                  <c:v>0.80200000000000005</c:v>
                </c:pt>
                <c:pt idx="1">
                  <c:v>8.5999999999999993E-2</c:v>
                </c:pt>
                <c:pt idx="2">
                  <c:v>4.0000000000000001E-3</c:v>
                </c:pt>
                <c:pt idx="3">
                  <c:v>0.104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3B8-4920-A137-B900D1ED22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Book Antiqua" panose="02040602050305030304" pitchFamily="18" charset="0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gradFill>
        <a:gsLst>
          <a:gs pos="0">
            <a:schemeClr val="accent1">
              <a:lumMod val="5000"/>
              <a:lumOff val="95000"/>
            </a:schemeClr>
          </a:gs>
          <a:gs pos="74000">
            <a:schemeClr val="accent1">
              <a:lumMod val="45000"/>
              <a:lumOff val="55000"/>
            </a:schemeClr>
          </a:gs>
          <a:gs pos="83000">
            <a:schemeClr val="accent1">
              <a:lumMod val="45000"/>
              <a:lumOff val="55000"/>
            </a:schemeClr>
          </a:gs>
          <a:gs pos="100000">
            <a:schemeClr val="accent1">
              <a:lumMod val="30000"/>
              <a:lumOff val="70000"/>
            </a:schemeClr>
          </a:gs>
        </a:gsLst>
        <a:lin ang="5400000" scaled="1"/>
      </a:gra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  <a:ea typeface="+mn-ea"/>
                <a:cs typeface="+mn-cs"/>
              </a:defRPr>
            </a:pPr>
            <a:r>
              <a:rPr lang="uk-UA" b="1" baseline="0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rPr>
              <a:t>ГЕОГРАФІЧНИЙ РОЗПОДІЛ ЗВЕРНЕНЬ, НАДІСЛАНИХ НА РОЗГЛЯД</a:t>
            </a:r>
            <a:endParaRPr lang="en-US" b="1" baseline="0">
              <a:solidFill>
                <a:schemeClr val="accent1">
                  <a:lumMod val="50000"/>
                </a:schemeClr>
              </a:solidFill>
              <a:latin typeface="Book Antiqua" panose="02040602050305030304" pitchFamily="18" charset="0"/>
            </a:endParaRPr>
          </a:p>
        </c:rich>
      </c:tx>
      <c:layout>
        <c:manualLayout>
          <c:xMode val="edge"/>
          <c:yMode val="edge"/>
          <c:x val="0.28959258823990286"/>
          <c:y val="4.83675937122128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accent1">
                  <a:lumMod val="50000"/>
                </a:schemeClr>
              </a:solidFill>
              <a:latin typeface="Book Antiqua" panose="02040602050305030304" pitchFamily="18" charset="0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 рік</c:v>
                </c:pt>
              </c:strCache>
            </c:strRef>
          </c:tx>
          <c:spPr>
            <a:solidFill>
              <a:schemeClr val="accent1"/>
            </a:solidFill>
            <a:ln w="12700">
              <a:solidFill>
                <a:schemeClr val="accen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Book Antiqua" panose="02040602050305030304" pitchFamily="18" charset="0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Лисичанськ</c:v>
                </c:pt>
                <c:pt idx="1">
                  <c:v>Рубіжне</c:v>
                </c:pt>
                <c:pt idx="2">
                  <c:v>Сєвєродонецьк</c:v>
                </c:pt>
                <c:pt idx="3">
                  <c:v>Біловодський район</c:v>
                </c:pt>
                <c:pt idx="4">
                  <c:v>Білокуракинський район</c:v>
                </c:pt>
                <c:pt idx="5">
                  <c:v>Кремінський район</c:v>
                </c:pt>
                <c:pt idx="6">
                  <c:v>Марківський район</c:v>
                </c:pt>
                <c:pt idx="7">
                  <c:v>Міловський район</c:v>
                </c:pt>
                <c:pt idx="8">
                  <c:v>Новоайдарський район</c:v>
                </c:pt>
                <c:pt idx="9">
                  <c:v>Новопсковський район</c:v>
                </c:pt>
                <c:pt idx="10">
                  <c:v>Попаснянський район</c:v>
                </c:pt>
                <c:pt idx="11">
                  <c:v>Сватівський район</c:v>
                </c:pt>
                <c:pt idx="12">
                  <c:v>Станично-Луганський район</c:v>
                </c:pt>
                <c:pt idx="13">
                  <c:v>Старобільський район</c:v>
                </c:pt>
                <c:pt idx="14">
                  <c:v>Троїцький район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662</c:v>
                </c:pt>
                <c:pt idx="1">
                  <c:v>147</c:v>
                </c:pt>
                <c:pt idx="2">
                  <c:v>483</c:v>
                </c:pt>
                <c:pt idx="3">
                  <c:v>67</c:v>
                </c:pt>
                <c:pt idx="4">
                  <c:v>62</c:v>
                </c:pt>
                <c:pt idx="5">
                  <c:v>241</c:v>
                </c:pt>
                <c:pt idx="6">
                  <c:v>31</c:v>
                </c:pt>
                <c:pt idx="7">
                  <c:v>26</c:v>
                </c:pt>
                <c:pt idx="8">
                  <c:v>131</c:v>
                </c:pt>
                <c:pt idx="9">
                  <c:v>82</c:v>
                </c:pt>
                <c:pt idx="10">
                  <c:v>221</c:v>
                </c:pt>
                <c:pt idx="11">
                  <c:v>119</c:v>
                </c:pt>
                <c:pt idx="12">
                  <c:v>181</c:v>
                </c:pt>
                <c:pt idx="13">
                  <c:v>252</c:v>
                </c:pt>
                <c:pt idx="14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F2-43FC-AA47-B66D3AE0787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рік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Book Antiqua" panose="02040602050305030304" pitchFamily="18" charset="0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Лисичанськ</c:v>
                </c:pt>
                <c:pt idx="1">
                  <c:v>Рубіжне</c:v>
                </c:pt>
                <c:pt idx="2">
                  <c:v>Сєвєродонецьк</c:v>
                </c:pt>
                <c:pt idx="3">
                  <c:v>Біловодський район</c:v>
                </c:pt>
                <c:pt idx="4">
                  <c:v>Білокуракинський район</c:v>
                </c:pt>
                <c:pt idx="5">
                  <c:v>Кремінський район</c:v>
                </c:pt>
                <c:pt idx="6">
                  <c:v>Марківський район</c:v>
                </c:pt>
                <c:pt idx="7">
                  <c:v>Міловський район</c:v>
                </c:pt>
                <c:pt idx="8">
                  <c:v>Новоайдарський район</c:v>
                </c:pt>
                <c:pt idx="9">
                  <c:v>Новопсковський район</c:v>
                </c:pt>
                <c:pt idx="10">
                  <c:v>Попаснянський район</c:v>
                </c:pt>
                <c:pt idx="11">
                  <c:v>Сватівський район</c:v>
                </c:pt>
                <c:pt idx="12">
                  <c:v>Станично-Луганський район</c:v>
                </c:pt>
                <c:pt idx="13">
                  <c:v>Старобільський район</c:v>
                </c:pt>
                <c:pt idx="14">
                  <c:v>Троїцький район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</c:numCache>
            </c:numRef>
          </c:val>
          <c:extLst>
            <c:ext xmlns:c16="http://schemas.microsoft.com/office/drawing/2014/chart" uri="{C3380CC4-5D6E-409C-BE32-E72D297353CC}">
              <c16:uniqueId val="{00000001-9BF2-43FC-AA47-B66D3AE078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67693472"/>
        <c:axId val="667695112"/>
      </c:barChart>
      <c:catAx>
        <c:axId val="667693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Book Antiqua" panose="02040602050305030304" pitchFamily="18" charset="0"/>
                <a:ea typeface="+mn-ea"/>
                <a:cs typeface="+mn-cs"/>
              </a:defRPr>
            </a:pPr>
            <a:endParaRPr lang="uk-UA"/>
          </a:p>
        </c:txPr>
        <c:crossAx val="667695112"/>
        <c:crosses val="autoZero"/>
        <c:auto val="1"/>
        <c:lblAlgn val="ctr"/>
        <c:lblOffset val="100"/>
        <c:noMultiLvlLbl val="0"/>
      </c:catAx>
      <c:valAx>
        <c:axId val="667695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667693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b="1">
                <a:solidFill>
                  <a:schemeClr val="accent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ТЕМАТИЧНИЙ</a:t>
            </a:r>
            <a:r>
              <a:rPr lang="uk-UA" b="1" baseline="0">
                <a:solidFill>
                  <a:schemeClr val="accent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РОЗПОДІЛ ЗВЕРНЕНЬ, НАДІСЛАНИХ НА РОЗГЛЯД</a:t>
            </a:r>
            <a:endParaRPr lang="uk-UA" b="1">
              <a:solidFill>
                <a:schemeClr val="accent1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solidFill>
                <a:schemeClr val="bg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bg1"/>
                </a:solidFill>
              </a:ln>
              <a:effectLst/>
              <a:sp3d contourW="25400">
                <a:contourClr>
                  <a:schemeClr val="bg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98C-4EC8-8576-C9364C2912A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bg1"/>
                </a:solidFill>
              </a:ln>
              <a:effectLst/>
              <a:sp3d contourW="25400">
                <a:contourClr>
                  <a:schemeClr val="bg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98C-4EC8-8576-C9364C2912A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bg1"/>
                </a:solidFill>
              </a:ln>
              <a:effectLst/>
              <a:sp3d contourW="25400">
                <a:contourClr>
                  <a:schemeClr val="bg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798C-4EC8-8576-C9364C2912A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bg1"/>
                </a:solidFill>
              </a:ln>
              <a:effectLst/>
              <a:sp3d contourW="25400">
                <a:contourClr>
                  <a:schemeClr val="bg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798C-4EC8-8576-C9364C2912A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bg1"/>
                </a:solidFill>
              </a:ln>
              <a:effectLst/>
              <a:sp3d contourW="25400">
                <a:contourClr>
                  <a:schemeClr val="bg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798C-4EC8-8576-C9364C2912A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bg1"/>
                </a:solidFill>
              </a:ln>
              <a:effectLst/>
              <a:sp3d contourW="25400">
                <a:contourClr>
                  <a:schemeClr val="bg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798C-4EC8-8576-C9364C2912A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bg1"/>
                </a:solidFill>
              </a:ln>
              <a:effectLst/>
              <a:sp3d contourW="25400">
                <a:contourClr>
                  <a:schemeClr val="bg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798C-4EC8-8576-C9364C2912A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bg1"/>
                </a:solidFill>
              </a:ln>
              <a:effectLst/>
              <a:sp3d contourW="25400">
                <a:contourClr>
                  <a:schemeClr val="bg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798C-4EC8-8576-C9364C2912A8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bg1"/>
                </a:solidFill>
              </a:ln>
              <a:effectLst/>
              <a:sp3d contourW="25400">
                <a:contourClr>
                  <a:schemeClr val="bg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798C-4EC8-8576-C9364C2912A8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bg1"/>
                </a:solidFill>
              </a:ln>
              <a:effectLst/>
              <a:sp3d contourW="25400">
                <a:contourClr>
                  <a:schemeClr val="bg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798C-4EC8-8576-C9364C2912A8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bg1"/>
                </a:solidFill>
              </a:ln>
              <a:effectLst/>
              <a:sp3d contourW="25400">
                <a:contourClr>
                  <a:schemeClr val="bg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798C-4EC8-8576-C9364C2912A8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bg1"/>
                </a:solidFill>
              </a:ln>
              <a:effectLst/>
              <a:sp3d contourW="25400">
                <a:contourClr>
                  <a:schemeClr val="bg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798C-4EC8-8576-C9364C2912A8}"/>
              </c:ext>
            </c:extLst>
          </c:dPt>
          <c:cat>
            <c:strRef>
              <c:f>Лист1!$A$2:$A$13</c:f>
              <c:strCache>
                <c:ptCount val="12"/>
                <c:pt idx="0">
                  <c:v>Аграрна політика  </c:v>
                </c:pt>
                <c:pt idx="1">
                  <c:v>Будівництво та благоустрій</c:v>
                </c:pt>
                <c:pt idx="2">
                  <c:v>Діяльність ОВВ, ОМС, службових осіб</c:v>
                </c:pt>
                <c:pt idx="3">
                  <c:v>Діяльність підприємств</c:v>
                </c:pt>
                <c:pt idx="4">
                  <c:v>Комунальне господарство</c:v>
                </c:pt>
                <c:pt idx="5">
                  <c:v>Надзвичайні ситуації</c:v>
                </c:pt>
                <c:pt idx="6">
                  <c:v>Освіта</c:v>
                </c:pt>
                <c:pt idx="7">
                  <c:v>Охорона здоров'я</c:v>
                </c:pt>
                <c:pt idx="8">
                  <c:v>Соціальний захист </c:v>
                </c:pt>
                <c:pt idx="9">
                  <c:v>Транспортне обслуговування</c:v>
                </c:pt>
                <c:pt idx="10">
                  <c:v>Повідомлення про неотримання відповіді </c:v>
                </c:pt>
                <c:pt idx="11">
                  <c:v>Інші 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59</c:v>
                </c:pt>
                <c:pt idx="1">
                  <c:v>103</c:v>
                </c:pt>
                <c:pt idx="2">
                  <c:v>155</c:v>
                </c:pt>
                <c:pt idx="3">
                  <c:v>56</c:v>
                </c:pt>
                <c:pt idx="4">
                  <c:v>784</c:v>
                </c:pt>
                <c:pt idx="5">
                  <c:v>51</c:v>
                </c:pt>
                <c:pt idx="6">
                  <c:v>22</c:v>
                </c:pt>
                <c:pt idx="7">
                  <c:v>158</c:v>
                </c:pt>
                <c:pt idx="8">
                  <c:v>1103</c:v>
                </c:pt>
                <c:pt idx="9">
                  <c:v>38</c:v>
                </c:pt>
                <c:pt idx="10">
                  <c:v>57</c:v>
                </c:pt>
                <c:pt idx="11">
                  <c:v>230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56-4EC4-9775-AE785E47DE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1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gradFill>
        <a:gsLst>
          <a:gs pos="29000">
            <a:schemeClr val="accent1">
              <a:lumMod val="5000"/>
              <a:lumOff val="95000"/>
            </a:schemeClr>
          </a:gs>
          <a:gs pos="74000">
            <a:schemeClr val="accent1">
              <a:lumMod val="45000"/>
              <a:lumOff val="55000"/>
            </a:schemeClr>
          </a:gs>
          <a:gs pos="83000">
            <a:schemeClr val="accent1">
              <a:lumMod val="45000"/>
              <a:lumOff val="55000"/>
            </a:schemeClr>
          </a:gs>
          <a:gs pos="100000">
            <a:schemeClr val="accent1">
              <a:lumMod val="30000"/>
              <a:lumOff val="70000"/>
            </a:schemeClr>
          </a:gs>
        </a:gsLst>
        <a:lin ang="5400000" scaled="1"/>
      </a:gra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B6E8E-9044-438B-8B20-0DC7856B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16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5</cp:revision>
  <dcterms:created xsi:type="dcterms:W3CDTF">2020-04-24T15:30:00Z</dcterms:created>
  <dcterms:modified xsi:type="dcterms:W3CDTF">2021-02-12T13:15:00Z</dcterms:modified>
</cp:coreProperties>
</file>