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CD6F78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D36E28">
        <w:rPr>
          <w:b/>
          <w:color w:val="000000" w:themeColor="text1"/>
          <w:sz w:val="32"/>
          <w:szCs w:val="32"/>
          <w:lang w:val="en-US" w:eastAsia="uk-UA"/>
        </w:rPr>
        <w:t>C</w:t>
      </w:r>
      <w:r w:rsidR="00D36E28">
        <w:rPr>
          <w:b/>
          <w:color w:val="000000" w:themeColor="text1"/>
          <w:sz w:val="32"/>
          <w:szCs w:val="32"/>
          <w:lang w:val="uk-UA" w:eastAsia="uk-UA"/>
        </w:rPr>
        <w:t>ІЧЕНЬ-</w:t>
      </w:r>
      <w:r w:rsidR="00C73715">
        <w:rPr>
          <w:b/>
          <w:color w:val="000000" w:themeColor="text1"/>
          <w:sz w:val="32"/>
          <w:szCs w:val="32"/>
          <w:lang w:val="uk-UA" w:eastAsia="uk-UA"/>
        </w:rPr>
        <w:t>СЕРПЕНЬ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2016 РОКУ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C73715" w:rsidRDefault="00C73715" w:rsidP="00C73715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C73715">
        <w:rPr>
          <w:b/>
          <w:color w:val="000000"/>
          <w:sz w:val="28"/>
          <w:szCs w:val="28"/>
          <w:lang w:val="uk-UA" w:eastAsia="uk-UA"/>
        </w:rPr>
        <w:t xml:space="preserve">індекси промислової продукції </w:t>
      </w:r>
      <w:r>
        <w:rPr>
          <w:color w:val="000000"/>
          <w:sz w:val="28"/>
          <w:szCs w:val="28"/>
          <w:lang w:val="uk-UA" w:eastAsia="uk-UA"/>
        </w:rPr>
        <w:t>становили:</w:t>
      </w:r>
    </w:p>
    <w:p w:rsidR="00C73715" w:rsidRPr="00CD6F78" w:rsidRDefault="00C73715" w:rsidP="00C73715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1134" w:hanging="42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сер</w:t>
      </w:r>
      <w:r w:rsidRPr="006549A7">
        <w:rPr>
          <w:color w:val="000000"/>
          <w:sz w:val="28"/>
          <w:szCs w:val="28"/>
          <w:lang w:val="uk-UA" w:eastAsia="uk-UA"/>
        </w:rPr>
        <w:t xml:space="preserve">пень 2016 року до </w:t>
      </w:r>
      <w:r>
        <w:rPr>
          <w:color w:val="000000"/>
          <w:sz w:val="28"/>
          <w:szCs w:val="28"/>
          <w:lang w:val="uk-UA" w:eastAsia="uk-UA"/>
        </w:rPr>
        <w:t xml:space="preserve">липня </w:t>
      </w:r>
      <w:r w:rsidRPr="006549A7">
        <w:rPr>
          <w:color w:val="000000"/>
          <w:sz w:val="28"/>
          <w:szCs w:val="28"/>
          <w:lang w:val="uk-UA" w:eastAsia="uk-UA"/>
        </w:rPr>
        <w:t xml:space="preserve">2016 року </w:t>
      </w:r>
      <w:r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 w:eastAsia="uk-UA"/>
        </w:rPr>
        <w:t>118</w:t>
      </w:r>
      <w:r w:rsidRPr="006549A7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1)</w:t>
      </w:r>
      <w:r w:rsidRPr="006549A7">
        <w:rPr>
          <w:color w:val="000000"/>
          <w:sz w:val="28"/>
          <w:szCs w:val="28"/>
          <w:lang w:val="uk-UA" w:eastAsia="uk-UA"/>
        </w:rPr>
        <w:t xml:space="preserve">; </w:t>
      </w:r>
    </w:p>
    <w:p w:rsidR="00C73715" w:rsidRPr="00CD6F78" w:rsidRDefault="00C73715" w:rsidP="00C73715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spacing w:line="276" w:lineRule="auto"/>
        <w:ind w:left="1134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сер</w:t>
      </w:r>
      <w:r w:rsidRPr="006549A7">
        <w:rPr>
          <w:color w:val="000000"/>
          <w:sz w:val="28"/>
          <w:szCs w:val="28"/>
          <w:lang w:val="uk-UA" w:eastAsia="uk-UA"/>
        </w:rPr>
        <w:t xml:space="preserve">пень 2016 року до </w:t>
      </w:r>
      <w:r>
        <w:rPr>
          <w:color w:val="000000"/>
          <w:sz w:val="28"/>
          <w:szCs w:val="28"/>
          <w:lang w:val="uk-UA" w:eastAsia="uk-UA"/>
        </w:rPr>
        <w:t>сер</w:t>
      </w:r>
      <w:r w:rsidRPr="006549A7">
        <w:rPr>
          <w:color w:val="000000"/>
          <w:sz w:val="28"/>
          <w:szCs w:val="28"/>
          <w:lang w:val="uk-UA" w:eastAsia="uk-UA"/>
        </w:rPr>
        <w:t xml:space="preserve">пня 2015 року </w:t>
      </w:r>
      <w:r>
        <w:rPr>
          <w:color w:val="000000"/>
          <w:sz w:val="28"/>
          <w:szCs w:val="28"/>
          <w:lang w:val="uk-UA"/>
        </w:rPr>
        <w:t xml:space="preserve">– 116,0 % </w:t>
      </w:r>
      <w:r w:rsidRPr="006549A7">
        <w:rPr>
          <w:color w:val="000000"/>
          <w:sz w:val="28"/>
          <w:szCs w:val="28"/>
          <w:lang w:val="uk-UA"/>
        </w:rPr>
        <w:t>(графік 2)</w:t>
      </w:r>
      <w:r>
        <w:rPr>
          <w:color w:val="000000"/>
          <w:sz w:val="28"/>
          <w:szCs w:val="28"/>
          <w:lang w:val="uk-UA"/>
        </w:rPr>
        <w:t>;</w:t>
      </w:r>
    </w:p>
    <w:p w:rsidR="00C73715" w:rsidRDefault="00C73715" w:rsidP="00C73715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1134" w:hanging="425"/>
        <w:jc w:val="both"/>
        <w:rPr>
          <w:color w:val="000000"/>
          <w:sz w:val="28"/>
          <w:szCs w:val="28"/>
          <w:lang w:val="uk-UA" w:eastAsia="uk-UA"/>
        </w:rPr>
      </w:pPr>
      <w:r w:rsidRPr="00D43123">
        <w:rPr>
          <w:color w:val="000000"/>
          <w:sz w:val="28"/>
          <w:szCs w:val="28"/>
          <w:lang w:val="uk-UA"/>
        </w:rPr>
        <w:t>січень-</w:t>
      </w:r>
      <w:r>
        <w:rPr>
          <w:color w:val="000000"/>
          <w:sz w:val="28"/>
          <w:szCs w:val="28"/>
          <w:lang w:val="uk-UA"/>
        </w:rPr>
        <w:t>сер</w:t>
      </w:r>
      <w:r w:rsidRPr="00D43123">
        <w:rPr>
          <w:color w:val="000000"/>
          <w:sz w:val="28"/>
          <w:szCs w:val="28"/>
          <w:lang w:val="uk-UA"/>
        </w:rPr>
        <w:t>пень 2016 року до</w:t>
      </w:r>
      <w:r w:rsidRPr="00D43123">
        <w:rPr>
          <w:color w:val="000000"/>
          <w:sz w:val="28"/>
          <w:szCs w:val="28"/>
          <w:lang w:val="en-US"/>
        </w:rPr>
        <w:t>c</w:t>
      </w:r>
      <w:proofErr w:type="spellStart"/>
      <w:r w:rsidRPr="00D43123">
        <w:rPr>
          <w:color w:val="000000"/>
          <w:sz w:val="28"/>
          <w:szCs w:val="28"/>
          <w:lang w:val="uk-UA"/>
        </w:rPr>
        <w:t>ічня-</w:t>
      </w:r>
      <w:r>
        <w:rPr>
          <w:color w:val="000000"/>
          <w:sz w:val="28"/>
          <w:szCs w:val="28"/>
          <w:lang w:val="uk-UA"/>
        </w:rPr>
        <w:t>сер</w:t>
      </w:r>
      <w:r w:rsidRPr="00D43123">
        <w:rPr>
          <w:color w:val="000000"/>
          <w:sz w:val="28"/>
          <w:szCs w:val="28"/>
          <w:lang w:val="uk-UA"/>
        </w:rPr>
        <w:t>пня</w:t>
      </w:r>
      <w:proofErr w:type="spellEnd"/>
      <w:r w:rsidRPr="00D43123">
        <w:rPr>
          <w:color w:val="000000"/>
          <w:sz w:val="28"/>
          <w:szCs w:val="28"/>
          <w:lang w:val="uk-UA"/>
        </w:rPr>
        <w:t xml:space="preserve"> 2015 року–</w:t>
      </w:r>
      <w:r>
        <w:rPr>
          <w:color w:val="000000"/>
          <w:sz w:val="28"/>
          <w:szCs w:val="28"/>
          <w:lang w:val="uk-UA" w:eastAsia="uk-UA"/>
        </w:rPr>
        <w:t>164</w:t>
      </w:r>
      <w:r w:rsidRPr="00D43123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3).</w:t>
      </w:r>
    </w:p>
    <w:p w:rsidR="00C73715" w:rsidRPr="00A269DD" w:rsidRDefault="00C73715" w:rsidP="00C73715">
      <w:pPr>
        <w:pStyle w:val="a5"/>
        <w:tabs>
          <w:tab w:val="left" w:pos="993"/>
          <w:tab w:val="left" w:pos="1418"/>
        </w:tabs>
        <w:spacing w:line="276" w:lineRule="auto"/>
        <w:ind w:left="1134"/>
        <w:jc w:val="both"/>
        <w:rPr>
          <w:color w:val="000000"/>
          <w:sz w:val="28"/>
          <w:szCs w:val="28"/>
          <w:lang w:val="uk-UA" w:eastAsia="uk-UA"/>
        </w:rPr>
      </w:pPr>
    </w:p>
    <w:p w:rsidR="00C73715" w:rsidRDefault="00C73715" w:rsidP="00C73715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 1</w:t>
      </w:r>
    </w:p>
    <w:p w:rsidR="00C73715" w:rsidRPr="00E74ADF" w:rsidRDefault="00C73715" w:rsidP="00C73715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C73715" w:rsidRPr="00C73715" w:rsidRDefault="00C73715" w:rsidP="00C73715">
      <w:pPr>
        <w:tabs>
          <w:tab w:val="left" w:pos="0"/>
        </w:tabs>
        <w:jc w:val="center"/>
        <w:outlineLvl w:val="0"/>
        <w:rPr>
          <w:color w:val="000000"/>
          <w:sz w:val="16"/>
          <w:szCs w:val="16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2762250"/>
            <wp:effectExtent l="95250" t="57150" r="60325" b="1143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3715" w:rsidRDefault="00C73715" w:rsidP="00C737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firstLine="709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Графік </w:t>
      </w:r>
      <w:r w:rsidRPr="00962E1B">
        <w:rPr>
          <w:color w:val="000000"/>
          <w:sz w:val="28"/>
          <w:szCs w:val="28"/>
          <w:lang w:val="uk-UA" w:eastAsia="uk-UA"/>
        </w:rPr>
        <w:t>2</w:t>
      </w:r>
    </w:p>
    <w:p w:rsidR="00C73715" w:rsidRPr="00E74ADF" w:rsidRDefault="00C73715" w:rsidP="00C737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firstLine="709"/>
        <w:jc w:val="center"/>
        <w:outlineLvl w:val="0"/>
        <w:rPr>
          <w:color w:val="000000"/>
          <w:sz w:val="16"/>
          <w:szCs w:val="16"/>
          <w:lang w:val="en-US" w:eastAsia="uk-UA"/>
        </w:rPr>
      </w:pPr>
    </w:p>
    <w:p w:rsidR="00C73715" w:rsidRPr="00A269DD" w:rsidRDefault="00C73715" w:rsidP="00C73715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2933700"/>
            <wp:effectExtent l="95250" t="76200" r="79375" b="1143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715" w:rsidRDefault="00C73715" w:rsidP="00C73715">
      <w:pPr>
        <w:ind w:firstLine="709"/>
        <w:jc w:val="center"/>
        <w:rPr>
          <w:sz w:val="28"/>
          <w:szCs w:val="28"/>
          <w:lang w:val="uk-UA" w:eastAsia="uk-UA"/>
        </w:rPr>
      </w:pPr>
    </w:p>
    <w:p w:rsidR="00C73715" w:rsidRDefault="00C73715" w:rsidP="00C73715">
      <w:pPr>
        <w:ind w:firstLine="709"/>
        <w:jc w:val="center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Графік </w:t>
      </w:r>
      <w:r>
        <w:rPr>
          <w:sz w:val="28"/>
          <w:szCs w:val="28"/>
          <w:lang w:val="en-US" w:eastAsia="uk-UA"/>
        </w:rPr>
        <w:t>3</w:t>
      </w:r>
    </w:p>
    <w:p w:rsidR="00C73715" w:rsidRPr="00E74ADF" w:rsidRDefault="00C73715" w:rsidP="00C73715">
      <w:pPr>
        <w:ind w:firstLine="709"/>
        <w:jc w:val="center"/>
        <w:rPr>
          <w:sz w:val="16"/>
          <w:szCs w:val="16"/>
          <w:lang w:val="en-US" w:eastAsia="uk-UA"/>
        </w:rPr>
      </w:pPr>
    </w:p>
    <w:p w:rsidR="00C73715" w:rsidRDefault="00C73715" w:rsidP="00C73715">
      <w:pPr>
        <w:jc w:val="center"/>
        <w:rPr>
          <w:sz w:val="28"/>
          <w:szCs w:val="28"/>
          <w:lang w:val="en-US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2933700"/>
            <wp:effectExtent l="95250" t="76200" r="79375" b="1143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715" w:rsidRDefault="00C73715" w:rsidP="00C73715">
      <w:pPr>
        <w:ind w:firstLine="709"/>
        <w:jc w:val="center"/>
        <w:rPr>
          <w:sz w:val="20"/>
          <w:szCs w:val="20"/>
          <w:lang w:val="uk-UA" w:eastAsia="uk-UA"/>
        </w:rPr>
      </w:pPr>
    </w:p>
    <w:p w:rsidR="00C73715" w:rsidRDefault="00C73715" w:rsidP="00C73715">
      <w:pPr>
        <w:ind w:firstLine="709"/>
        <w:jc w:val="center"/>
        <w:rPr>
          <w:sz w:val="20"/>
          <w:szCs w:val="20"/>
          <w:lang w:val="uk-UA" w:eastAsia="uk-UA"/>
        </w:rPr>
      </w:pPr>
    </w:p>
    <w:p w:rsidR="00C73715" w:rsidRPr="009846FA" w:rsidRDefault="00C73715" w:rsidP="00C73715">
      <w:pPr>
        <w:ind w:firstLine="709"/>
        <w:jc w:val="center"/>
        <w:rPr>
          <w:sz w:val="20"/>
          <w:szCs w:val="20"/>
          <w:lang w:val="uk-UA" w:eastAsia="uk-UA"/>
        </w:rPr>
      </w:pPr>
    </w:p>
    <w:p w:rsidR="00C73715" w:rsidRPr="00780AB1" w:rsidRDefault="00C73715" w:rsidP="00C73715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 w:eastAsia="uk-UA"/>
        </w:rPr>
      </w:pPr>
    </w:p>
    <w:p w:rsidR="00A269DD" w:rsidRDefault="00A269DD" w:rsidP="00780AB1">
      <w:pPr>
        <w:ind w:firstLine="709"/>
        <w:jc w:val="center"/>
        <w:rPr>
          <w:sz w:val="20"/>
          <w:szCs w:val="20"/>
          <w:lang w:val="uk-UA" w:eastAsia="uk-UA"/>
        </w:rPr>
      </w:pPr>
    </w:p>
    <w:p w:rsidR="00A269DD" w:rsidRPr="009846FA" w:rsidRDefault="00A269DD" w:rsidP="00780AB1">
      <w:pPr>
        <w:ind w:firstLine="709"/>
        <w:jc w:val="center"/>
        <w:rPr>
          <w:sz w:val="20"/>
          <w:szCs w:val="20"/>
          <w:lang w:val="uk-UA" w:eastAsia="uk-UA"/>
        </w:rPr>
      </w:pPr>
    </w:p>
    <w:p w:rsidR="00C73715" w:rsidRDefault="00C73715" w:rsidP="00C7371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3B7642">
        <w:rPr>
          <w:b/>
          <w:color w:val="000000"/>
          <w:sz w:val="28"/>
          <w:szCs w:val="28"/>
          <w:lang w:val="uk-UA" w:eastAsia="uk-UA"/>
        </w:rPr>
        <w:t>обсяг реалізованої промислової продукції</w:t>
      </w:r>
      <w:r>
        <w:rPr>
          <w:color w:val="000000"/>
          <w:sz w:val="28"/>
          <w:szCs w:val="28"/>
          <w:lang w:val="uk-UA" w:eastAsia="uk-UA"/>
        </w:rPr>
        <w:t xml:space="preserve"> області за січень-серпень 2016 року (без урахування частини зони проведення антитерористичної операції) становив 22894,3 </w:t>
      </w:r>
      <w:r w:rsidRPr="00DC7F7A">
        <w:rPr>
          <w:color w:val="000000"/>
          <w:sz w:val="28"/>
          <w:szCs w:val="28"/>
          <w:lang w:val="uk-UA" w:eastAsia="uk-UA"/>
        </w:rPr>
        <w:t>млн грн</w:t>
      </w:r>
      <w:r>
        <w:rPr>
          <w:color w:val="000000"/>
          <w:sz w:val="28"/>
          <w:szCs w:val="28"/>
          <w:lang w:val="uk-UA" w:eastAsia="uk-UA"/>
        </w:rPr>
        <w:t>, що складає 2,1 % до всієї продукції по Україні. В порівнянні з аналогічним періодом 2015 року обсяг реалізованої промислової продукції області з урахуванням індексу цін ви</w:t>
      </w:r>
      <w:r w:rsidR="00436951">
        <w:rPr>
          <w:color w:val="000000"/>
          <w:sz w:val="28"/>
          <w:szCs w:val="28"/>
          <w:lang w:val="uk-UA" w:eastAsia="uk-UA"/>
        </w:rPr>
        <w:t xml:space="preserve">робників промислової продукції </w:t>
      </w:r>
      <w:r>
        <w:rPr>
          <w:color w:val="000000"/>
          <w:sz w:val="28"/>
          <w:szCs w:val="28"/>
          <w:lang w:val="uk-UA" w:eastAsia="uk-UA"/>
        </w:rPr>
        <w:t>(у порівняних цінах) зріс на</w:t>
      </w:r>
      <w:r w:rsidR="0024725C" w:rsidRPr="0024725C">
        <w:rPr>
          <w:color w:val="000000"/>
          <w:sz w:val="28"/>
          <w:szCs w:val="28"/>
          <w:lang w:val="uk-UA" w:eastAsia="uk-UA"/>
        </w:rPr>
        <w:t xml:space="preserve"> 6349</w:t>
      </w:r>
      <w:r w:rsidR="0024725C">
        <w:rPr>
          <w:color w:val="000000"/>
          <w:sz w:val="28"/>
          <w:szCs w:val="28"/>
          <w:lang w:val="uk-UA" w:eastAsia="uk-UA"/>
        </w:rPr>
        <w:t>,8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 млн грн. </w:t>
      </w:r>
    </w:p>
    <w:p w:rsidR="00C73715" w:rsidRPr="005866D3" w:rsidRDefault="00C73715" w:rsidP="00C7371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 серпень 2016 року цей показник – 2900,5 млн грн. При цьому, в порівнянні з аналогічним періодом 2015 року обсяг реалізованої промислової продукції області у порівняних цінах зменшився на 92,9 млн грн.</w:t>
      </w:r>
    </w:p>
    <w:p w:rsidR="00C73715" w:rsidRDefault="00C73715" w:rsidP="00C73715">
      <w:pPr>
        <w:tabs>
          <w:tab w:val="left" w:pos="709"/>
          <w:tab w:val="left" w:pos="851"/>
        </w:tabs>
        <w:spacing w:line="360" w:lineRule="auto"/>
        <w:rPr>
          <w:b/>
          <w:color w:val="000000" w:themeColor="text1"/>
          <w:sz w:val="28"/>
          <w:szCs w:val="28"/>
          <w:lang w:val="uk-UA" w:eastAsia="uk-UA"/>
        </w:rPr>
      </w:pPr>
    </w:p>
    <w:p w:rsidR="00C73715" w:rsidRPr="00F35492" w:rsidRDefault="00C73715" w:rsidP="00C73715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4575" cy="3933825"/>
            <wp:effectExtent l="38100" t="57150" r="28575" b="2857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85D" w:rsidRPr="00780AB1" w:rsidRDefault="00DE085D" w:rsidP="00C73715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sectPr w:rsidR="00DE085D" w:rsidRPr="00780AB1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25C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586D"/>
    <w:rsid w:val="00473FDB"/>
    <w:rsid w:val="00475320"/>
    <w:rsid w:val="00480345"/>
    <w:rsid w:val="00481EC3"/>
    <w:rsid w:val="00493ECE"/>
    <w:rsid w:val="00494C28"/>
    <w:rsid w:val="00495DBF"/>
    <w:rsid w:val="00496130"/>
    <w:rsid w:val="004966BB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E65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6147B"/>
    <w:rsid w:val="00761B88"/>
    <w:rsid w:val="0076563C"/>
    <w:rsid w:val="00766C96"/>
    <w:rsid w:val="007674F8"/>
    <w:rsid w:val="00767B99"/>
    <w:rsid w:val="0077596E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3B10"/>
    <w:rsid w:val="009546E6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77A"/>
    <w:rsid w:val="00AD2941"/>
    <w:rsid w:val="00AD699E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6567F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EC7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4;&#1086;&#1082;&#1091;&#1084;&#1077;&#1085;&#1090;&#1080;\&#1042;&#1057;&#1045;\&#1030;&#1053;&#1044;&#1045;&#1050;&#1057;\&#1090;&#1072;&#1073;&#1083;%20&#1076;&#1083;&#1103;%20&#1084;&#1086;&#1085;&#1080;&#1090;&#1086;&#1088;&#1080;&#1075;&#1072;%20&#1048;&#1053;&#1044;&#1045;&#1050;&#1057;%201%20&#1076;&#1086;%20&#1087;&#1086;&#1087;&#1077;&#1088;%20&#1084;&#1110;&#1089;%20&#1087;&#1086;&#1090;&#1086;&#1095;%20&#1088;&#1086;&#1082;&#1091;%20&#1083;&#1102;&#1090;&#1080;&#1081;%2016%20&#1082;%20&#1089;&#1110;&#1095;&#1085;&#1102;%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4;&#1086;&#1082;&#1091;&#1084;&#1077;&#1085;&#1090;&#1080;\&#1042;&#1057;&#1045;\&#1030;&#1053;&#1044;&#1045;&#1050;&#1057;\&#1090;&#1072;&#1073;&#1083;%20&#1076;&#1083;&#1103;%20&#1084;&#1086;&#1085;&#1080;&#1090;&#1086;&#1088;&#1080;&#1075;&#1072;%20&#1048;&#1053;&#1044;&#1045;&#1050;&#1057;%202%20&#1076;&#1086;%20&#1074;&#1110;&#1076;&#1087;%20&#1084;&#1110;&#1089;%20&#1087;&#1088;&#1077;&#1076;%20&#1088;&#1086;&#1082;&#1091;%20&#1083;&#1102;&#1090;&#1080;&#1081;%2016%20&#1082;%20&#1083;&#1102;&#1090;&#1086;&#1084;&#1091;%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4;&#1086;&#1082;&#1091;&#1084;&#1077;&#1085;&#1090;&#1080;\&#1042;&#1057;&#1045;\&#1030;&#1053;&#1044;&#1045;&#1050;&#1057;\&#1090;&#1072;&#1073;&#1083;%20&#1076;&#1083;&#1103;%20&#1084;&#1086;&#1085;&#1080;&#1090;&#1086;&#1088;&#1080;&#1075;&#1072;%20&#1048;&#1053;&#1044;&#1045;&#1050;&#1057;%203%20&#1079;&#1072;%20&#1087;&#1077;&#1088;&#1110;&#1086;&#1076;%20&#1089;&#1110;&#1095;&#1077;&#1085;&#1100;-&#1083;&#1102;&#1090;&#1080;&#1081;%2016%20&#1082;%20&#1089;&#1110;&#1095;&#1085;&#1102;-&#1083;&#1102;&#1090;&#1086;&#1084;&#1091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Індекси промислової продукції за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місяць до попереднього місяця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31976668336028"/>
          <c:y val="0"/>
        </c:manualLayout>
      </c:layout>
    </c:title>
    <c:plotArea>
      <c:layout>
        <c:manualLayout>
          <c:layoutTarget val="inner"/>
          <c:xMode val="edge"/>
          <c:yMode val="edge"/>
          <c:x val="0.15374573368067107"/>
          <c:y val="0.2057955692601362"/>
          <c:w val="0.79734778853211241"/>
          <c:h val="0.49863934714868907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96961474106017E-2"/>
                  <c:y val="-5.313609270670278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341705463526E-2"/>
                  <c:y val="-5.61278936202192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36862682383836E-2"/>
                  <c:y val="6.0503574984161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619006129997569E-2"/>
                  <c:y val="6.49839634123877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913415285943441E-2"/>
                  <c:y val="-6.318989767464712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292891501870658E-2"/>
                  <c:y val="-5.29734817630554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931309628519868E-2"/>
                  <c:y val="-7.329749298579059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69527202706E-2"/>
                  <c:y val="6.936416184971204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016799308887166E-2"/>
                  <c:y val="-3.468208092485549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896351327316907E-2"/>
                  <c:y val="4.383561643835613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88</c:v>
                </c:pt>
                <c:pt idx="1">
                  <c:v>112</c:v>
                </c:pt>
                <c:pt idx="2">
                  <c:v>111</c:v>
                </c:pt>
                <c:pt idx="3">
                  <c:v>90</c:v>
                </c:pt>
                <c:pt idx="4">
                  <c:v>91</c:v>
                </c:pt>
                <c:pt idx="5">
                  <c:v>59</c:v>
                </c:pt>
                <c:pt idx="6">
                  <c:v>149</c:v>
                </c:pt>
                <c:pt idx="7">
                  <c:v>118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2.5179849775650492E-2"/>
                  <c:y val="5.69358363690961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3341705463526E-2"/>
                  <c:y val="-6.728780661802276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09437456074289E-2"/>
                  <c:y val="-6.314690382890908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777191867585319E-2"/>
                  <c:y val="-6.00656782176798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261799450376029E-2"/>
                  <c:y val="-5.622047244094488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32073462757305E-2"/>
                  <c:y val="6.34696352611096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809314990089101E-2"/>
                  <c:y val="4.765462937822429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204311981045303E-2"/>
                  <c:y val="6.00771110507738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334172218317729E-2"/>
                  <c:y val="6.00771110507738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528122987833375E-2"/>
                  <c:y val="4.628400760249786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68</c:v>
                </c:pt>
                <c:pt idx="1">
                  <c:v>88</c:v>
                </c:pt>
                <c:pt idx="2">
                  <c:v>96</c:v>
                </c:pt>
                <c:pt idx="3">
                  <c:v>108</c:v>
                </c:pt>
                <c:pt idx="4">
                  <c:v>114</c:v>
                </c:pt>
                <c:pt idx="5">
                  <c:v>120</c:v>
                </c:pt>
                <c:pt idx="6">
                  <c:v>112</c:v>
                </c:pt>
                <c:pt idx="7">
                  <c:v>115</c:v>
                </c:pt>
                <c:pt idx="8">
                  <c:v>98</c:v>
                </c:pt>
                <c:pt idx="9">
                  <c:v>112</c:v>
                </c:pt>
                <c:pt idx="10">
                  <c:v>116</c:v>
                </c:pt>
                <c:pt idx="11">
                  <c:v>98</c:v>
                </c:pt>
              </c:numCache>
            </c:numRef>
          </c:val>
        </c:ser>
        <c:dLbls>
          <c:showVal val="1"/>
        </c:dLbls>
        <c:marker val="1"/>
        <c:axId val="139227520"/>
        <c:axId val="139229056"/>
      </c:lineChart>
      <c:catAx>
        <c:axId val="139227520"/>
        <c:scaling>
          <c:orientation val="minMax"/>
        </c:scaling>
        <c:delete val="1"/>
        <c:axPos val="b"/>
        <c:numFmt formatCode="General" sourceLinked="0"/>
        <c:tickLblPos val="none"/>
        <c:crossAx val="139229056"/>
        <c:crosses val="autoZero"/>
        <c:auto val="1"/>
        <c:lblAlgn val="ctr"/>
        <c:lblOffset val="100"/>
      </c:catAx>
      <c:valAx>
        <c:axId val="139229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922752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34006405265616529"/>
          <c:y val="0.85114663697340887"/>
          <c:w val="0.31132031799071641"/>
          <c:h val="8.6002633509195181E-2"/>
        </c:manualLayout>
      </c:layout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/>
              <a:t>Індекси промислової продукції за місяць до аналогічного періоду попереднього року</a:t>
            </a:r>
          </a:p>
        </c:rich>
      </c:tx>
      <c:layout>
        <c:manualLayout>
          <c:xMode val="edge"/>
          <c:yMode val="edge"/>
          <c:x val="0.11288619921975274"/>
          <c:y val="4.3290043290043307E-3"/>
        </c:manualLayout>
      </c:layout>
    </c:title>
    <c:plotArea>
      <c:layout>
        <c:manualLayout>
          <c:layoutTarget val="inner"/>
          <c:xMode val="edge"/>
          <c:yMode val="edge"/>
          <c:x val="0.14436130644481604"/>
          <c:y val="0.20589253175303934"/>
          <c:w val="0.79646388924013156"/>
          <c:h val="0.47783843688664923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50956098059547E-2"/>
                  <c:y val="-6.555878305172188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86255664849867E-2"/>
                  <c:y val="-6.026868171978995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107374472365174E-2"/>
                  <c:y val="-7.052882993693292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542856782132593E-2"/>
                  <c:y val="-6.226264663693333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154462854088802E-2"/>
                  <c:y val="-7.700623856461906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4607822475919795E-2"/>
                  <c:y val="-5.055524309461317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1586039719380368E-2"/>
                  <c:y val="-9.22855097658247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695272027039E-2"/>
                  <c:y val="6.93641618497119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016799308887118E-2"/>
                  <c:y val="-3.468208092485548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896351327316831E-2"/>
                  <c:y val="4.3835616438356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3492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183</c:v>
                </c:pt>
                <c:pt idx="1">
                  <c:v>249</c:v>
                </c:pt>
                <c:pt idx="2">
                  <c:v>274</c:v>
                </c:pt>
                <c:pt idx="3">
                  <c:v>225</c:v>
                </c:pt>
                <c:pt idx="4">
                  <c:v>183</c:v>
                </c:pt>
                <c:pt idx="5">
                  <c:v>88</c:v>
                </c:pt>
                <c:pt idx="6">
                  <c:v>109</c:v>
                </c:pt>
                <c:pt idx="7">
                  <c:v>116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6"/>
              <c:layout>
                <c:manualLayout>
                  <c:x val="-2.1913415285943285E-2"/>
                  <c:y val="-5.517092167892696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533939070016045E-2"/>
                  <c:y val="8.76623376623376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533939070016129E-2"/>
                  <c:y val="4.87012987012987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533939070016045E-2"/>
                  <c:y val="4.87012987012987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361304115446483E-2"/>
                  <c:y val="5.303030303030296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436130411544633E-2"/>
                  <c:y val="5.73593073593072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22</c:v>
                </c:pt>
                <c:pt idx="6">
                  <c:v>41</c:v>
                </c:pt>
                <c:pt idx="7">
                  <c:v>141</c:v>
                </c:pt>
                <c:pt idx="8">
                  <c:v>113</c:v>
                </c:pt>
                <c:pt idx="9">
                  <c:v>123</c:v>
                </c:pt>
                <c:pt idx="10">
                  <c:v>161</c:v>
                </c:pt>
                <c:pt idx="11">
                  <c:v>167</c:v>
                </c:pt>
              </c:numCache>
            </c:numRef>
          </c:val>
        </c:ser>
        <c:dLbls>
          <c:showVal val="1"/>
        </c:dLbls>
        <c:marker val="1"/>
        <c:axId val="139526528"/>
        <c:axId val="139528064"/>
      </c:lineChart>
      <c:catAx>
        <c:axId val="139526528"/>
        <c:scaling>
          <c:orientation val="minMax"/>
        </c:scaling>
        <c:delete val="1"/>
        <c:axPos val="b"/>
        <c:numFmt formatCode="General" sourceLinked="0"/>
        <c:tickLblPos val="none"/>
        <c:crossAx val="139528064"/>
        <c:crosses val="autoZero"/>
        <c:auto val="1"/>
        <c:lblAlgn val="ctr"/>
        <c:lblOffset val="100"/>
      </c:catAx>
      <c:valAx>
        <c:axId val="139528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952652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26936856444253632"/>
          <c:y val="0.83667822772153522"/>
          <c:w val="0.44557644947825431"/>
          <c:h val="7.6020184976877889E-2"/>
        </c:manualLayout>
      </c:layout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6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/>
              <a:t>Індекси промислової продукції наростаючим підсумком за звітний період до звітного періоду попереднього року</a:t>
            </a: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208436265082044"/>
          <c:y val="4.3317312608651213E-3"/>
        </c:manualLayout>
      </c:layout>
    </c:title>
    <c:plotArea>
      <c:layout>
        <c:manualLayout>
          <c:layoutTarget val="inner"/>
          <c:xMode val="edge"/>
          <c:yMode val="edge"/>
          <c:x val="0.10822912502051626"/>
          <c:y val="0.21661644146333575"/>
          <c:w val="0.82853095527676868"/>
          <c:h val="0.47783843688664934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499198289684657E-2"/>
                  <c:y val="-5.338913532494596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36130411544633E-2"/>
                  <c:y val="-6.01396073054221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188538698830469E-2"/>
                  <c:y val="-5.92384528931934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120387009346998E-2"/>
                  <c:y val="-5.58630463589712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809727418492796E-2"/>
                  <c:y val="-5.971631713677120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2223409941207914E-2"/>
                  <c:y val="-6.06561679790026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695272027039E-2"/>
                  <c:y val="6.936416184971197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016799308887125E-2"/>
                  <c:y val="-3.468208092485548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896351327316845E-2"/>
                  <c:y val="4.3835616438356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пром'!$B$35:$L$35</c:f>
              <c:numCache>
                <c:formatCode>0.0</c:formatCode>
                <c:ptCount val="11"/>
                <c:pt idx="0">
                  <c:v>213</c:v>
                </c:pt>
                <c:pt idx="1">
                  <c:v>232</c:v>
                </c:pt>
                <c:pt idx="2">
                  <c:v>230</c:v>
                </c:pt>
                <c:pt idx="3">
                  <c:v>220</c:v>
                </c:pt>
                <c:pt idx="4">
                  <c:v>192</c:v>
                </c:pt>
                <c:pt idx="5">
                  <c:v>175</c:v>
                </c:pt>
                <c:pt idx="6">
                  <c:v>164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9016568679850351E-2"/>
                  <c:y val="-6.17283950617283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92357028327122E-2"/>
                  <c:y val="-6.17283950617283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430251202565483E-2"/>
                  <c:y val="-6.172839506172848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154462854088733E-2"/>
                  <c:y val="-5.7396577864414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016568679850351E-2"/>
                  <c:y val="-6.17283950617283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154462854088733E-2"/>
                  <c:y val="-6.60602122590426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292357028327101E-2"/>
                  <c:y val="-6.17283950617283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292357028327184E-2"/>
                  <c:y val="-5.73965778644141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154462854088671E-2"/>
                  <c:y val="-6.17283950617283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016568679850511E-2"/>
                  <c:y val="-5.73965778644142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154462854088733E-2"/>
                  <c:y val="-7.039202945635704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пром'!$B$36:$L$36</c:f>
              <c:numCache>
                <c:formatCode>0.0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  <c:pt idx="8">
                  <c:v>27</c:v>
                </c:pt>
                <c:pt idx="9">
                  <c:v>30</c:v>
                </c:pt>
                <c:pt idx="10">
                  <c:v>34</c:v>
                </c:pt>
              </c:numCache>
            </c:numRef>
          </c:val>
        </c:ser>
        <c:dLbls>
          <c:showVal val="1"/>
        </c:dLbls>
        <c:marker val="1"/>
        <c:axId val="143182848"/>
        <c:axId val="145946496"/>
      </c:lineChart>
      <c:catAx>
        <c:axId val="143182848"/>
        <c:scaling>
          <c:orientation val="minMax"/>
        </c:scaling>
        <c:delete val="1"/>
        <c:axPos val="b"/>
        <c:numFmt formatCode="General" sourceLinked="0"/>
        <c:tickLblPos val="none"/>
        <c:crossAx val="145946496"/>
        <c:crosses val="autoZero"/>
        <c:auto val="1"/>
        <c:lblAlgn val="ctr"/>
        <c:lblOffset val="100"/>
      </c:catAx>
      <c:valAx>
        <c:axId val="14594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318284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lumMod val="7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9"/>
  <c:chart>
    <c:title>
      <c:tx>
        <c:rich>
          <a:bodyPr/>
          <a:lstStyle/>
          <a:p>
            <a:pPr>
              <a:defRPr lang="ru-RU"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Обсяг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реалізованої промислової продукції, млн грн</a:t>
            </a:r>
          </a:p>
          <a:p>
            <a:pPr>
              <a:defRPr lang="ru-RU"/>
            </a:pPr>
            <a:endParaRPr lang="ru-RU" sz="18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52091369605238"/>
          <c:y val="1.8604651162790701E-2"/>
        </c:manualLayout>
      </c:layout>
    </c:title>
    <c:plotArea>
      <c:layout>
        <c:manualLayout>
          <c:layoutTarget val="inner"/>
          <c:xMode val="edge"/>
          <c:yMode val="edge"/>
          <c:x val="8.0781278700971085E-2"/>
          <c:y val="0.2351879233018479"/>
          <c:w val="0.90127750697829434"/>
          <c:h val="0.525724409448821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6.3118502100145718E-2"/>
                  <c:y val="-4.40920466337057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837943857328927E-2"/>
                  <c:y val="-5.035478508160003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09605972659328E-2"/>
                  <c:y val="-4.16977511212320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9321830494324E-2"/>
                  <c:y val="-4.663555548428135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473383867452087E-2"/>
                  <c:y val="-4.83799060001220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474873766751136E-2"/>
                  <c:y val="3.65166166856434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988676765326583E-2"/>
                  <c:y val="-4.72051787823874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2">
                  <a:lumMod val="40000"/>
                  <a:lumOff val="60000"/>
                </a:schemeClr>
              </a:solidFill>
              <a:ln cmpd="dbl">
                <a:solidFill>
                  <a:srgbClr val="4F81BD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2817.4</c:v>
                </c:pt>
                <c:pt idx="1">
                  <c:v>3203.4</c:v>
                </c:pt>
                <c:pt idx="2">
                  <c:v>3792.8</c:v>
                </c:pt>
                <c:pt idx="3">
                  <c:v>3158.6</c:v>
                </c:pt>
                <c:pt idx="4">
                  <c:v>3374.1</c:v>
                </c:pt>
                <c:pt idx="5">
                  <c:v>1281.4000000000001</c:v>
                </c:pt>
                <c:pt idx="6">
                  <c:v>2366.1</c:v>
                </c:pt>
                <c:pt idx="7">
                  <c:v>2900.5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marker>
            <c:symbol val="circle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5.2252605282815563E-2"/>
                  <c:y val="4.378904962461076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395541731467079E-2"/>
                  <c:y val="3.643410852713179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35662882730666E-2"/>
                  <c:y val="4.042294102239258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031765469440725E-2"/>
                  <c:y val="-6.48074795131261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338162239828977E-2"/>
                  <c:y val="3.605347702209323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031746031746132E-2"/>
                  <c:y val="4.911433172302762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172044590849162E-2"/>
                  <c:y val="4.068827443081238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031746031746132E-2"/>
                  <c:y val="5.555555555555545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1321928460342149E-2"/>
                  <c:y val="3.99200303628033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24676814309565E-2"/>
                  <c:y val="4.91144004148158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1501.6</c:v>
                </c:pt>
                <c:pt idx="1">
                  <c:v>1183.4000000000001</c:v>
                </c:pt>
                <c:pt idx="2">
                  <c:v>1343.9</c:v>
                </c:pt>
                <c:pt idx="3">
                  <c:v>1327.8</c:v>
                </c:pt>
                <c:pt idx="4">
                  <c:v>1419.5</c:v>
                </c:pt>
                <c:pt idx="5">
                  <c:v>1838.3</c:v>
                </c:pt>
                <c:pt idx="6">
                  <c:v>2239.9</c:v>
                </c:pt>
                <c:pt idx="7">
                  <c:v>2532.3000000000002</c:v>
                </c:pt>
                <c:pt idx="8">
                  <c:v>2420.4</c:v>
                </c:pt>
                <c:pt idx="9">
                  <c:v>2932.3</c:v>
                </c:pt>
                <c:pt idx="10">
                  <c:v>3053.6</c:v>
                </c:pt>
                <c:pt idx="11">
                  <c:v>3073.7</c:v>
                </c:pt>
              </c:numCache>
            </c:numRef>
          </c:val>
        </c:ser>
        <c:marker val="1"/>
        <c:axId val="148452096"/>
        <c:axId val="148453248"/>
      </c:lineChart>
      <c:catAx>
        <c:axId val="1484520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 sz="1100"/>
            </a:pPr>
            <a:endParaRPr lang="uk-UA"/>
          </a:p>
        </c:txPr>
        <c:crossAx val="148453248"/>
        <c:crosses val="autoZero"/>
        <c:auto val="1"/>
        <c:lblAlgn val="ctr"/>
        <c:lblOffset val="100"/>
      </c:catAx>
      <c:valAx>
        <c:axId val="148453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4845209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12700" cmpd="thickThin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32441911427738335"/>
          <c:y val="0.91186922589583452"/>
          <c:w val="0.35116177144523608"/>
          <c:h val="6.6910614952972111E-2"/>
        </c:manualLayout>
      </c:layout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0.85404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8121" y="2107859"/>
          <a:ext cx="4670174" cy="511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0.14827</cdr:x>
      <cdr:y>0.70731</cdr:y>
    </cdr:from>
    <cdr:to>
      <cdr:x>0.22769</cdr:x>
      <cdr:y>0.8965</cdr:y>
    </cdr:to>
    <cdr:sp macro="" textlink="">
      <cdr:nvSpPr>
        <cdr:cNvPr id="4" name="TextBox 3"/>
        <cdr:cNvSpPr txBox="1"/>
      </cdr:nvSpPr>
      <cdr:spPr>
        <a:xfrm xmlns:a="http://schemas.openxmlformats.org/drawingml/2006/main" rot="20720771">
          <a:off x="880770" y="2000927"/>
          <a:ext cx="471788" cy="535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0.21095</cdr:x>
      <cdr:y>0.70498</cdr:y>
    </cdr:from>
    <cdr:to>
      <cdr:x>0.2924</cdr:x>
      <cdr:y>0.93664</cdr:y>
    </cdr:to>
    <cdr:sp macro="" textlink="">
      <cdr:nvSpPr>
        <cdr:cNvPr id="6" name="TextBox 5"/>
        <cdr:cNvSpPr txBox="1"/>
      </cdr:nvSpPr>
      <cdr:spPr>
        <a:xfrm xmlns:a="http://schemas.openxmlformats.org/drawingml/2006/main" rot="20720771">
          <a:off x="1253113" y="1721714"/>
          <a:ext cx="483840" cy="5657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0.26927</cdr:x>
      <cdr:y>0.70113</cdr:y>
    </cdr:from>
    <cdr:to>
      <cdr:x>0.37312</cdr:x>
      <cdr:y>0.87873</cdr:y>
    </cdr:to>
    <cdr:sp macro="" textlink="">
      <cdr:nvSpPr>
        <cdr:cNvPr id="7" name="TextBox 6"/>
        <cdr:cNvSpPr txBox="1"/>
      </cdr:nvSpPr>
      <cdr:spPr>
        <a:xfrm xmlns:a="http://schemas.openxmlformats.org/drawingml/2006/main" rot="20720771">
          <a:off x="1599607" y="1983438"/>
          <a:ext cx="616882" cy="502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0.35665</cdr:x>
      <cdr:y>0.70271</cdr:y>
    </cdr:from>
    <cdr:to>
      <cdr:x>0.42912</cdr:x>
      <cdr:y>0.89442</cdr:y>
    </cdr:to>
    <cdr:sp macro="" textlink="">
      <cdr:nvSpPr>
        <cdr:cNvPr id="9" name="TextBox 8"/>
        <cdr:cNvSpPr txBox="1"/>
      </cdr:nvSpPr>
      <cdr:spPr>
        <a:xfrm xmlns:a="http://schemas.openxmlformats.org/drawingml/2006/main" rot="20720771">
          <a:off x="2659924" y="2155246"/>
          <a:ext cx="540486" cy="5879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  <a:endParaRPr lang="en-US" sz="800" b="1" baseline="0">
            <a:latin typeface="+mn-lt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0.42701</cdr:x>
      <cdr:y>0.70497</cdr:y>
    </cdr:from>
    <cdr:to>
      <cdr:x>0.47893</cdr:x>
      <cdr:y>0.87267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720771">
          <a:off x="3184674" y="2162178"/>
          <a:ext cx="387223" cy="514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травень </a:t>
          </a:r>
          <a:endParaRPr lang="en-US" sz="800" b="1">
            <a:latin typeface="+mn-lt"/>
            <a:ea typeface="+mn-ea"/>
            <a:cs typeface="+mn-cs"/>
          </a:endParaRPr>
        </a:p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0.49298</cdr:x>
      <cdr:y>0.70807</cdr:y>
    </cdr:from>
    <cdr:to>
      <cdr:x>0.54489</cdr:x>
      <cdr:y>0.87577</cdr:y>
    </cdr:to>
    <cdr:sp macro="" textlink="">
      <cdr:nvSpPr>
        <cdr:cNvPr id="12" name="TextBox 1"/>
        <cdr:cNvSpPr txBox="1"/>
      </cdr:nvSpPr>
      <cdr:spPr>
        <a:xfrm xmlns:a="http://schemas.openxmlformats.org/drawingml/2006/main" rot="20720771">
          <a:off x="3676683" y="2171685"/>
          <a:ext cx="387149" cy="514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0.553</cdr:x>
      <cdr:y>0.70807</cdr:y>
    </cdr:from>
    <cdr:to>
      <cdr:x>0.60492</cdr:x>
      <cdr:y>0.87577</cdr:y>
    </cdr:to>
    <cdr:sp macro="" textlink="">
      <cdr:nvSpPr>
        <cdr:cNvPr id="13" name="TextBox 1"/>
        <cdr:cNvSpPr txBox="1"/>
      </cdr:nvSpPr>
      <cdr:spPr>
        <a:xfrm xmlns:a="http://schemas.openxmlformats.org/drawingml/2006/main" rot="20720771">
          <a:off x="4124317" y="2171685"/>
          <a:ext cx="387224" cy="514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0.60792</cdr:x>
      <cdr:y>0.70807</cdr:y>
    </cdr:from>
    <cdr:to>
      <cdr:x>0.65983</cdr:x>
      <cdr:y>0.87577</cdr:y>
    </cdr:to>
    <cdr:sp macro="" textlink="">
      <cdr:nvSpPr>
        <cdr:cNvPr id="14" name="TextBox 1"/>
        <cdr:cNvSpPr txBox="1"/>
      </cdr:nvSpPr>
      <cdr:spPr>
        <a:xfrm xmlns:a="http://schemas.openxmlformats.org/drawingml/2006/main" rot="20720771">
          <a:off x="4533915" y="2171685"/>
          <a:ext cx="387149" cy="514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серпень </a:t>
          </a:r>
          <a:endParaRPr lang="en-US" sz="8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0.67818</cdr:x>
      <cdr:y>0.70186</cdr:y>
    </cdr:from>
    <cdr:to>
      <cdr:x>0.7301</cdr:x>
      <cdr:y>0.86956</cdr:y>
    </cdr:to>
    <cdr:sp macro="" textlink="">
      <cdr:nvSpPr>
        <cdr:cNvPr id="15" name="TextBox 1"/>
        <cdr:cNvSpPr txBox="1"/>
      </cdr:nvSpPr>
      <cdr:spPr>
        <a:xfrm xmlns:a="http://schemas.openxmlformats.org/drawingml/2006/main" rot="20720771">
          <a:off x="4028698" y="1985508"/>
          <a:ext cx="308427" cy="474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вересень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0.74329</cdr:x>
      <cdr:y>0.71118</cdr:y>
    </cdr:from>
    <cdr:to>
      <cdr:x>0.79521</cdr:x>
      <cdr:y>0.87888</cdr:y>
    </cdr:to>
    <cdr:sp macro="" textlink="">
      <cdr:nvSpPr>
        <cdr:cNvPr id="16" name="TextBox 1"/>
        <cdr:cNvSpPr txBox="1"/>
      </cdr:nvSpPr>
      <cdr:spPr>
        <a:xfrm xmlns:a="http://schemas.openxmlformats.org/drawingml/2006/main" rot="20720771">
          <a:off x="5543516" y="2181218"/>
          <a:ext cx="387223" cy="514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жовтень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0.81481</cdr:x>
      <cdr:y>0.71429</cdr:y>
    </cdr:from>
    <cdr:to>
      <cdr:x>0.86673</cdr:x>
      <cdr:y>0.88198</cdr:y>
    </cdr:to>
    <cdr:sp macro="" textlink="">
      <cdr:nvSpPr>
        <cdr:cNvPr id="17" name="TextBox 1"/>
        <cdr:cNvSpPr txBox="1"/>
      </cdr:nvSpPr>
      <cdr:spPr>
        <a:xfrm xmlns:a="http://schemas.openxmlformats.org/drawingml/2006/main" rot="20720771">
          <a:off x="6076917" y="2190762"/>
          <a:ext cx="387223" cy="5143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листопад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marL="0" indent="0" algn="ctr"/>
          <a:endParaRPr lang="ru-RU" sz="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0.88378</cdr:x>
      <cdr:y>0.71739</cdr:y>
    </cdr:from>
    <cdr:to>
      <cdr:x>0.93569</cdr:x>
      <cdr:y>0.88509</cdr:y>
    </cdr:to>
    <cdr:sp macro="" textlink="">
      <cdr:nvSpPr>
        <cdr:cNvPr id="18" name="TextBox 1"/>
        <cdr:cNvSpPr txBox="1"/>
      </cdr:nvSpPr>
      <cdr:spPr>
        <a:xfrm xmlns:a="http://schemas.openxmlformats.org/drawingml/2006/main" rot="20720771">
          <a:off x="6591300" y="2200270"/>
          <a:ext cx="387149" cy="514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грудень </a:t>
          </a:r>
          <a:endParaRPr lang="en-US" sz="800" b="1"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0.14106</cdr:x>
      <cdr:y>0.69179</cdr:y>
    </cdr:from>
    <cdr:to>
      <cdr:x>0.22206</cdr:x>
      <cdr:y>0.88098</cdr:y>
    </cdr:to>
    <cdr:sp macro="" textlink="">
      <cdr:nvSpPr>
        <cdr:cNvPr id="4" name="TextBox 3"/>
        <cdr:cNvSpPr txBox="1"/>
      </cdr:nvSpPr>
      <cdr:spPr>
        <a:xfrm xmlns:a="http://schemas.openxmlformats.org/drawingml/2006/main" rot="21100912">
          <a:off x="913646" y="2214005"/>
          <a:ext cx="524637" cy="605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0.1988</cdr:x>
      <cdr:y>0.69349</cdr:y>
    </cdr:from>
    <cdr:to>
      <cdr:x>0.28088</cdr:x>
      <cdr:y>0.92515</cdr:y>
    </cdr:to>
    <cdr:sp macro="" textlink="">
      <cdr:nvSpPr>
        <cdr:cNvPr id="6" name="TextBox 5"/>
        <cdr:cNvSpPr txBox="1"/>
      </cdr:nvSpPr>
      <cdr:spPr>
        <a:xfrm xmlns:a="http://schemas.openxmlformats.org/drawingml/2006/main" rot="21100912">
          <a:off x="1287628" y="2219445"/>
          <a:ext cx="531633" cy="741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  <a:endParaRPr lang="ru-RU" sz="1100"/>
        </a:p>
      </cdr:txBody>
    </cdr:sp>
  </cdr:relSizeAnchor>
  <cdr:relSizeAnchor xmlns:cdr="http://schemas.openxmlformats.org/drawingml/2006/chartDrawing">
    <cdr:from>
      <cdr:x>0.25854</cdr:x>
      <cdr:y>0.69438</cdr:y>
    </cdr:from>
    <cdr:to>
      <cdr:x>0.35882</cdr:x>
      <cdr:y>0.90774</cdr:y>
    </cdr:to>
    <cdr:sp macro="" textlink="">
      <cdr:nvSpPr>
        <cdr:cNvPr id="7" name="TextBox 6"/>
        <cdr:cNvSpPr txBox="1"/>
      </cdr:nvSpPr>
      <cdr:spPr>
        <a:xfrm xmlns:a="http://schemas.openxmlformats.org/drawingml/2006/main" rot="21100912">
          <a:off x="1674564" y="2222294"/>
          <a:ext cx="649514" cy="682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0.34087</cdr:x>
      <cdr:y>0.69002</cdr:y>
    </cdr:from>
    <cdr:to>
      <cdr:x>0.40882</cdr:x>
      <cdr:y>0.88173</cdr:y>
    </cdr:to>
    <cdr:sp macro="" textlink="">
      <cdr:nvSpPr>
        <cdr:cNvPr id="9" name="TextBox 8"/>
        <cdr:cNvSpPr txBox="1"/>
      </cdr:nvSpPr>
      <cdr:spPr>
        <a:xfrm xmlns:a="http://schemas.openxmlformats.org/drawingml/2006/main" rot="21100912">
          <a:off x="2207816" y="2208340"/>
          <a:ext cx="440112" cy="613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0.40578</cdr:x>
      <cdr:y>0.6866</cdr:y>
    </cdr:from>
    <cdr:to>
      <cdr:x>0.48088</cdr:x>
      <cdr:y>0.98473</cdr:y>
    </cdr:to>
    <cdr:sp macro="" textlink="">
      <cdr:nvSpPr>
        <cdr:cNvPr id="11" name="TextBox 10"/>
        <cdr:cNvSpPr txBox="1"/>
      </cdr:nvSpPr>
      <cdr:spPr>
        <a:xfrm xmlns:a="http://schemas.openxmlformats.org/drawingml/2006/main" rot="21100912">
          <a:off x="2628238" y="219739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/>
          <a:r>
            <a:rPr lang="ru-RU" sz="800" b="1">
              <a:latin typeface="+mn-lt"/>
              <a:ea typeface="+mn-ea"/>
              <a:cs typeface="+mn-cs"/>
            </a:rPr>
            <a:t>травень </a:t>
          </a:r>
        </a:p>
        <a:p xmlns:a="http://schemas.openxmlformats.org/drawingml/2006/main">
          <a:pPr marL="0" indent="0" algn="ctr"/>
          <a:endParaRPr lang="ru-RU" sz="900" b="1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0.47059</cdr:x>
      <cdr:y>0.6875</cdr:y>
    </cdr:from>
    <cdr:to>
      <cdr:x>0.54569</cdr:x>
      <cdr:y>0.98563</cdr:y>
    </cdr:to>
    <cdr:sp macro="" textlink="">
      <cdr:nvSpPr>
        <cdr:cNvPr id="12" name="TextBox 1"/>
        <cdr:cNvSpPr txBox="1"/>
      </cdr:nvSpPr>
      <cdr:spPr>
        <a:xfrm xmlns:a="http://schemas.openxmlformats.org/drawingml/2006/main" rot="21100912">
          <a:off x="3048013" y="220027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0.54679</cdr:x>
      <cdr:y>0.6875</cdr:y>
    </cdr:from>
    <cdr:to>
      <cdr:x>0.62189</cdr:x>
      <cdr:y>0.98563</cdr:y>
    </cdr:to>
    <cdr:sp macro="" textlink="">
      <cdr:nvSpPr>
        <cdr:cNvPr id="13" name="TextBox 1"/>
        <cdr:cNvSpPr txBox="1"/>
      </cdr:nvSpPr>
      <cdr:spPr>
        <a:xfrm xmlns:a="http://schemas.openxmlformats.org/drawingml/2006/main" rot="21100912">
          <a:off x="3248184" y="2017792"/>
          <a:ext cx="446126" cy="875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0.61324</cdr:x>
      <cdr:y>0.6875</cdr:y>
    </cdr:from>
    <cdr:to>
      <cdr:x>0.68834</cdr:x>
      <cdr:y>0.98563</cdr:y>
    </cdr:to>
    <cdr:sp macro="" textlink="">
      <cdr:nvSpPr>
        <cdr:cNvPr id="14" name="TextBox 1"/>
        <cdr:cNvSpPr txBox="1"/>
      </cdr:nvSpPr>
      <cdr:spPr>
        <a:xfrm xmlns:a="http://schemas.openxmlformats.org/drawingml/2006/main" rot="21100912">
          <a:off x="3971957" y="220027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серпень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0.67794</cdr:x>
      <cdr:y>0.69048</cdr:y>
    </cdr:from>
    <cdr:to>
      <cdr:x>0.74706</cdr:x>
      <cdr:y>0.98861</cdr:y>
    </cdr:to>
    <cdr:sp macro="" textlink="">
      <cdr:nvSpPr>
        <cdr:cNvPr id="15" name="TextBox 1"/>
        <cdr:cNvSpPr txBox="1"/>
      </cdr:nvSpPr>
      <cdr:spPr>
        <a:xfrm xmlns:a="http://schemas.openxmlformats.org/drawingml/2006/main" rot="21100912">
          <a:off x="4391019" y="2209812"/>
          <a:ext cx="447691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вересень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0.75294</cdr:x>
      <cdr:y>0.69345</cdr:y>
    </cdr:from>
    <cdr:to>
      <cdr:x>0.82804</cdr:x>
      <cdr:y>0.88095</cdr:y>
    </cdr:to>
    <cdr:sp macro="" textlink="">
      <cdr:nvSpPr>
        <cdr:cNvPr id="16" name="TextBox 1"/>
        <cdr:cNvSpPr txBox="1"/>
      </cdr:nvSpPr>
      <cdr:spPr>
        <a:xfrm xmlns:a="http://schemas.openxmlformats.org/drawingml/2006/main" rot="21100912">
          <a:off x="4876795" y="2219317"/>
          <a:ext cx="486423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жовтень </a:t>
          </a:r>
        </a:p>
        <a:p xmlns:a="http://schemas.openxmlformats.org/drawingml/2006/main">
          <a:pPr marL="0" indent="0" algn="ctr"/>
          <a:endParaRPr lang="ru-RU" sz="9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0.81912</cdr:x>
      <cdr:y>0.69294</cdr:y>
    </cdr:from>
    <cdr:to>
      <cdr:x>0.89422</cdr:x>
      <cdr:y>0.99107</cdr:y>
    </cdr:to>
    <cdr:sp macro="" textlink="">
      <cdr:nvSpPr>
        <cdr:cNvPr id="17" name="TextBox 1"/>
        <cdr:cNvSpPr txBox="1"/>
      </cdr:nvSpPr>
      <cdr:spPr>
        <a:xfrm xmlns:a="http://schemas.openxmlformats.org/drawingml/2006/main" rot="21100912">
          <a:off x="5305443" y="221768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листопад </a:t>
          </a:r>
        </a:p>
      </cdr:txBody>
    </cdr:sp>
  </cdr:relSizeAnchor>
  <cdr:relSizeAnchor xmlns:cdr="http://schemas.openxmlformats.org/drawingml/2006/chartDrawing">
    <cdr:from>
      <cdr:x>0.89412</cdr:x>
      <cdr:y>0.69294</cdr:y>
    </cdr:from>
    <cdr:to>
      <cdr:x>0.96922</cdr:x>
      <cdr:y>0.99107</cdr:y>
    </cdr:to>
    <cdr:sp macro="" textlink="">
      <cdr:nvSpPr>
        <cdr:cNvPr id="18" name="TextBox 1"/>
        <cdr:cNvSpPr txBox="1"/>
      </cdr:nvSpPr>
      <cdr:spPr>
        <a:xfrm xmlns:a="http://schemas.openxmlformats.org/drawingml/2006/main" rot="21100912">
          <a:off x="5791218" y="221768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грудень 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0.11146</cdr:x>
      <cdr:y>0.69124</cdr:y>
    </cdr:from>
    <cdr:to>
      <cdr:x>0.20412</cdr:x>
      <cdr:y>0.93511</cdr:y>
    </cdr:to>
    <cdr:sp macro="" textlink="">
      <cdr:nvSpPr>
        <cdr:cNvPr id="4" name="TextBox 3"/>
        <cdr:cNvSpPr txBox="1"/>
      </cdr:nvSpPr>
      <cdr:spPr>
        <a:xfrm xmlns:a="http://schemas.openxmlformats.org/drawingml/2006/main" rot="21203693">
          <a:off x="662126" y="2026578"/>
          <a:ext cx="550440" cy="714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/>
            <a:t>січень-лютий</a:t>
          </a:r>
          <a:r>
            <a:rPr lang="ru-RU" sz="800" b="1"/>
            <a:t> </a:t>
          </a:r>
        </a:p>
      </cdr:txBody>
    </cdr:sp>
  </cdr:relSizeAnchor>
  <cdr:relSizeAnchor xmlns:cdr="http://schemas.openxmlformats.org/drawingml/2006/chartDrawing">
    <cdr:from>
      <cdr:x>0.17583</cdr:x>
      <cdr:y>0.69923</cdr:y>
    </cdr:from>
    <cdr:to>
      <cdr:x>0.27691</cdr:x>
      <cdr:y>0.93089</cdr:y>
    </cdr:to>
    <cdr:sp macro="" textlink="">
      <cdr:nvSpPr>
        <cdr:cNvPr id="6" name="TextBox 5"/>
        <cdr:cNvSpPr txBox="1"/>
      </cdr:nvSpPr>
      <cdr:spPr>
        <a:xfrm xmlns:a="http://schemas.openxmlformats.org/drawingml/2006/main" rot="21203693">
          <a:off x="1044511" y="2050000"/>
          <a:ext cx="600458" cy="679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січень-березень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0.25474</cdr:x>
      <cdr:y>0.70079</cdr:y>
    </cdr:from>
    <cdr:to>
      <cdr:x>0.34672</cdr:x>
      <cdr:y>0.92825</cdr:y>
    </cdr:to>
    <cdr:sp macro="" textlink="">
      <cdr:nvSpPr>
        <cdr:cNvPr id="7" name="TextBox 6"/>
        <cdr:cNvSpPr txBox="1"/>
      </cdr:nvSpPr>
      <cdr:spPr>
        <a:xfrm xmlns:a="http://schemas.openxmlformats.org/drawingml/2006/main" rot="21203693">
          <a:off x="1513291" y="2054574"/>
          <a:ext cx="546401" cy="666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січень-квітень</a:t>
          </a:r>
          <a:r>
            <a:rPr lang="ru-RU" sz="800" b="1" baseline="0">
              <a:latin typeface="+mn-lt"/>
              <a:ea typeface="+mn-ea"/>
              <a:cs typeface="+mn-cs"/>
            </a:rPr>
            <a:t>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0.34588</cdr:x>
      <cdr:y>0.6959</cdr:y>
    </cdr:from>
    <cdr:to>
      <cdr:x>0.4167</cdr:x>
      <cdr:y>0.94972</cdr:y>
    </cdr:to>
    <cdr:sp macro="" textlink="">
      <cdr:nvSpPr>
        <cdr:cNvPr id="9" name="TextBox 8"/>
        <cdr:cNvSpPr txBox="1"/>
      </cdr:nvSpPr>
      <cdr:spPr>
        <a:xfrm xmlns:a="http://schemas.openxmlformats.org/drawingml/2006/main" rot="21203693">
          <a:off x="2054666" y="2040228"/>
          <a:ext cx="420701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+mn-lt"/>
            </a:rPr>
            <a:t>травень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0.4148</cdr:x>
      <cdr:y>0.6942</cdr:y>
    </cdr:from>
    <cdr:to>
      <cdr:x>0.49191</cdr:x>
      <cdr:y>0.94802</cdr:y>
    </cdr:to>
    <cdr:sp macro="" textlink="">
      <cdr:nvSpPr>
        <cdr:cNvPr id="11" name="TextBox 1"/>
        <cdr:cNvSpPr txBox="1"/>
      </cdr:nvSpPr>
      <cdr:spPr>
        <a:xfrm xmlns:a="http://schemas.openxmlformats.org/drawingml/2006/main" rot="21203693">
          <a:off x="2464059" y="2035248"/>
          <a:ext cx="458066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червень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0.49026</cdr:x>
      <cdr:y>0.70004</cdr:y>
    </cdr:from>
    <cdr:to>
      <cdr:x>0.55881</cdr:x>
      <cdr:y>0.95386</cdr:y>
    </cdr:to>
    <cdr:sp macro="" textlink="">
      <cdr:nvSpPr>
        <cdr:cNvPr id="12" name="TextBox 1"/>
        <cdr:cNvSpPr txBox="1"/>
      </cdr:nvSpPr>
      <cdr:spPr>
        <a:xfrm xmlns:a="http://schemas.openxmlformats.org/drawingml/2006/main" rot="21203693">
          <a:off x="2912363" y="2052385"/>
          <a:ext cx="407216" cy="744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липень</a:t>
          </a:r>
        </a:p>
        <a:p xmlns:a="http://schemas.openxmlformats.org/drawingml/2006/main">
          <a:pPr algn="ctr"/>
          <a:endParaRPr lang="ru-RU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0.5637</cdr:x>
      <cdr:y>0.7007</cdr:y>
    </cdr:from>
    <cdr:to>
      <cdr:x>0.63225</cdr:x>
      <cdr:y>0.95452</cdr:y>
    </cdr:to>
    <cdr:sp macro="" textlink="">
      <cdr:nvSpPr>
        <cdr:cNvPr id="15" name="TextBox 1"/>
        <cdr:cNvSpPr txBox="1"/>
      </cdr:nvSpPr>
      <cdr:spPr>
        <a:xfrm xmlns:a="http://schemas.openxmlformats.org/drawingml/2006/main" rot="21203693">
          <a:off x="3348627" y="2054296"/>
          <a:ext cx="407216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/>
            <a:t>січень-</a:t>
          </a:r>
        </a:p>
        <a:p xmlns:a="http://schemas.openxmlformats.org/drawingml/2006/main">
          <a:pPr algn="ctr"/>
          <a:r>
            <a:rPr lang="ru-RU" sz="800" b="1"/>
            <a:t>серпень</a:t>
          </a:r>
        </a:p>
      </cdr:txBody>
    </cdr:sp>
  </cdr:relSizeAnchor>
  <cdr:relSizeAnchor xmlns:cdr="http://schemas.openxmlformats.org/drawingml/2006/chartDrawing">
    <cdr:from>
      <cdr:x>0.63922</cdr:x>
      <cdr:y>0.70329</cdr:y>
    </cdr:from>
    <cdr:to>
      <cdr:x>0.70776</cdr:x>
      <cdr:y>0.95711</cdr:y>
    </cdr:to>
    <cdr:sp macro="" textlink="">
      <cdr:nvSpPr>
        <cdr:cNvPr id="16" name="TextBox 1"/>
        <cdr:cNvSpPr txBox="1"/>
      </cdr:nvSpPr>
      <cdr:spPr>
        <a:xfrm xmlns:a="http://schemas.openxmlformats.org/drawingml/2006/main" rot="21203693">
          <a:off x="3797252" y="2061909"/>
          <a:ext cx="407157" cy="744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 baseline="0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 baseline="0">
              <a:latin typeface="Calibri"/>
            </a:rPr>
            <a:t>вересень</a:t>
          </a:r>
        </a:p>
      </cdr:txBody>
    </cdr:sp>
  </cdr:relSizeAnchor>
  <cdr:relSizeAnchor xmlns:cdr="http://schemas.openxmlformats.org/drawingml/2006/chartDrawing">
    <cdr:from>
      <cdr:x>0.71139</cdr:x>
      <cdr:y>0.70241</cdr:y>
    </cdr:from>
    <cdr:to>
      <cdr:x>0.77993</cdr:x>
      <cdr:y>0.95623</cdr:y>
    </cdr:to>
    <cdr:sp macro="" textlink="">
      <cdr:nvSpPr>
        <cdr:cNvPr id="17" name="TextBox 1"/>
        <cdr:cNvSpPr txBox="1"/>
      </cdr:nvSpPr>
      <cdr:spPr>
        <a:xfrm xmlns:a="http://schemas.openxmlformats.org/drawingml/2006/main" rot="21203693">
          <a:off x="4225932" y="2059325"/>
          <a:ext cx="407157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жовтень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0.79027</cdr:x>
      <cdr:y>0.6968</cdr:y>
    </cdr:from>
    <cdr:to>
      <cdr:x>0.85881</cdr:x>
      <cdr:y>0.95062</cdr:y>
    </cdr:to>
    <cdr:sp macro="" textlink="">
      <cdr:nvSpPr>
        <cdr:cNvPr id="18" name="TextBox 1"/>
        <cdr:cNvSpPr txBox="1"/>
      </cdr:nvSpPr>
      <cdr:spPr>
        <a:xfrm xmlns:a="http://schemas.openxmlformats.org/drawingml/2006/main" rot="21203693">
          <a:off x="4694535" y="2042879"/>
          <a:ext cx="407157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   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листопад 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0.87177</cdr:x>
      <cdr:y>0.697</cdr:y>
    </cdr:from>
    <cdr:to>
      <cdr:x>0.94032</cdr:x>
      <cdr:y>0.95082</cdr:y>
    </cdr:to>
    <cdr:sp macro="" textlink="">
      <cdr:nvSpPr>
        <cdr:cNvPr id="19" name="TextBox 1"/>
        <cdr:cNvSpPr txBox="1"/>
      </cdr:nvSpPr>
      <cdr:spPr>
        <a:xfrm xmlns:a="http://schemas.openxmlformats.org/drawingml/2006/main" rot="21203693">
          <a:off x="5178661" y="2043455"/>
          <a:ext cx="407216" cy="744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грудень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4C86-29F3-4FFD-A915-CC27E5BB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2016-09-15T07:46:00Z</cp:lastPrinted>
  <dcterms:created xsi:type="dcterms:W3CDTF">2017-01-24T08:58:00Z</dcterms:created>
  <dcterms:modified xsi:type="dcterms:W3CDTF">2017-01-24T08:58:00Z</dcterms:modified>
</cp:coreProperties>
</file>