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05B9E" w14:textId="77777777" w:rsidR="00917BC2" w:rsidRPr="00917BC2" w:rsidRDefault="0074791B" w:rsidP="00F7442A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</w:pPr>
      <w:r w:rsidRPr="00917B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Заява про визначення обсягу стратегічної екологічної оцінки змін до Програми економічного і соціального розвитку </w:t>
      </w:r>
      <w:r w:rsidR="00917BC2" w:rsidRPr="00917B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Луганс</w:t>
      </w:r>
      <w:r w:rsidRPr="00917B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ької області </w:t>
      </w:r>
    </w:p>
    <w:p w14:paraId="51079736" w14:textId="77777777" w:rsidR="0074791B" w:rsidRPr="00917BC2" w:rsidRDefault="0074791B" w:rsidP="00F7442A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</w:pPr>
      <w:r w:rsidRPr="00917B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на 202</w:t>
      </w:r>
      <w:r w:rsidR="00917BC2" w:rsidRPr="00917B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1-202</w:t>
      </w:r>
      <w:r w:rsidR="00917B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3</w:t>
      </w:r>
      <w:r w:rsidR="00917BC2" w:rsidRPr="00917B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Pr="00917B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р</w:t>
      </w:r>
      <w:r w:rsidR="00917BC2" w:rsidRPr="00917B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о</w:t>
      </w:r>
      <w:r w:rsidRPr="00917B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к</w:t>
      </w:r>
      <w:r w:rsidR="00917BC2" w:rsidRPr="00917B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и</w:t>
      </w:r>
    </w:p>
    <w:p w14:paraId="2B40D227" w14:textId="77777777" w:rsidR="00917BC2" w:rsidRPr="00917BC2" w:rsidRDefault="00917BC2" w:rsidP="00F7442A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</w:pPr>
    </w:p>
    <w:p w14:paraId="70CAEC58" w14:textId="77777777" w:rsidR="0074791B" w:rsidRPr="00917BC2" w:rsidRDefault="00917BC2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val="uk-UA" w:eastAsia="ru-RU"/>
        </w:rPr>
      </w:pPr>
      <w:r w:rsidRPr="00917BC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val="uk-UA" w:eastAsia="ru-RU"/>
        </w:rPr>
        <w:t>Замовник:</w:t>
      </w:r>
    </w:p>
    <w:p w14:paraId="33D9E56E" w14:textId="77777777" w:rsidR="00917BC2" w:rsidRPr="00917BC2" w:rsidRDefault="00917BC2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14:paraId="4943715F" w14:textId="77777777" w:rsidR="0074791B" w:rsidRPr="00917BC2" w:rsidRDefault="00917BC2" w:rsidP="00F7442A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1D1D1B"/>
          <w:sz w:val="28"/>
          <w:szCs w:val="28"/>
          <w:lang w:val="uk-UA"/>
        </w:rPr>
      </w:pPr>
      <w:r w:rsidRPr="00917BC2">
        <w:rPr>
          <w:bCs/>
          <w:sz w:val="28"/>
          <w:szCs w:val="28"/>
          <w:shd w:val="clear" w:color="auto" w:fill="FFFFFF"/>
          <w:lang w:val="uk-UA"/>
        </w:rPr>
        <w:t>Департамент економічного розвитку та зовнішньоекономічної діяльності Луганської обласної державної адміністрації</w:t>
      </w:r>
      <w:r w:rsidR="0074791B" w:rsidRPr="00917BC2">
        <w:rPr>
          <w:color w:val="1D1D1B"/>
          <w:sz w:val="28"/>
          <w:szCs w:val="28"/>
          <w:lang w:val="uk-UA"/>
        </w:rPr>
        <w:t>.</w:t>
      </w:r>
    </w:p>
    <w:p w14:paraId="3B611D22" w14:textId="77777777" w:rsidR="00917BC2" w:rsidRDefault="00917BC2" w:rsidP="00F7442A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</w:p>
    <w:p w14:paraId="17A7701B" w14:textId="77777777" w:rsidR="001D744E" w:rsidRPr="001D744E" w:rsidRDefault="001D744E" w:rsidP="00F7442A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1D744E">
        <w:rPr>
          <w:b/>
          <w:sz w:val="28"/>
          <w:szCs w:val="28"/>
          <w:lang w:val="uk-UA"/>
        </w:rPr>
        <w:t>Назва документа державного планування:</w:t>
      </w:r>
    </w:p>
    <w:p w14:paraId="0D846B9E" w14:textId="77777777" w:rsidR="001D744E" w:rsidRPr="001D744E" w:rsidRDefault="001D744E" w:rsidP="00F7442A">
      <w:pPr>
        <w:shd w:val="clear" w:color="auto" w:fill="FFFFFF"/>
        <w:spacing w:after="3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Про внесення змін до </w:t>
      </w:r>
      <w:r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Програм</w:t>
      </w:r>
      <w:r w:rsidR="00D04BE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и</w:t>
      </w:r>
      <w:r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економічного і соціального розвитку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Луганс</w:t>
      </w:r>
      <w:r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ької області на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2021-2023 ро</w:t>
      </w:r>
      <w:r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к</w:t>
      </w:r>
      <w:r w:rsidR="00D04BE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и.</w:t>
      </w:r>
    </w:p>
    <w:p w14:paraId="2C213B88" w14:textId="77777777" w:rsidR="0074791B" w:rsidRPr="00917BC2" w:rsidRDefault="001D744E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val="uk-UA" w:eastAsia="ru-RU"/>
        </w:rPr>
        <w:t>О</w:t>
      </w:r>
      <w:r w:rsidR="0074791B" w:rsidRPr="00917BC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val="uk-UA" w:eastAsia="ru-RU"/>
        </w:rPr>
        <w:t>сновні цілі документа державного планування, його зв’язок з іншими документами державного планування</w:t>
      </w:r>
    </w:p>
    <w:p w14:paraId="11F58D8D" w14:textId="77777777" w:rsidR="0074791B" w:rsidRPr="00917BC2" w:rsidRDefault="00083F79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Програма економічного і соціального розвитку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Луганс</w:t>
      </w:r>
      <w:r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ької області на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2021-2023 ро</w:t>
      </w:r>
      <w:r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и</w:t>
      </w:r>
      <w:r w:rsidR="001D744E"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="0074791B"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(далі – Програма), із запропонованими до неї змінами, є документом державного планування регіонального рівня, який визначає сукупність взаємоузгоджених завдань і заходів, що будуть реалізуватися місцевими органами виконавчої влади, територіальними органами центральних органів виконавчої влади, органами місцевого самоврядування, підприємствами, установами та організаціями, щодо вирішення нагальних проблем та досягнення стратегічних цілей розвитку регіону в 2023 році.</w:t>
      </w:r>
    </w:p>
    <w:p w14:paraId="14441618" w14:textId="77777777" w:rsidR="00154B6E" w:rsidRPr="00154B6E" w:rsidRDefault="0074791B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Програму розроблено з урахуванням програмних документів, які діють на державному та регіональному рівнях, а саме:</w:t>
      </w:r>
      <w:r w:rsidR="00083F7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="00154B6E" w:rsidRPr="00154B6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законів України «Про місцеві державні адміністрації», «Про військові адміністрації», «Про державне прогнозування та розроблення програм економічного і соціального розвитку України», «Про засади державної регіональної політики», постанови Кабінету Міністрів України від 26.04.2003 № 621 (зі змінами) «Про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бюджету», Державної стратегії регіонального розвитку на період до 2027 року, затвердженої постановою Кабінету Міністрів України від 05.08.2020 № 695, Стратегії розвитку Луганської області на 2021-2027 роки, затвердженої розпорядженням керівника обласної військово-цивільної адм</w:t>
      </w:r>
      <w:r w:rsidR="00154B6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іністрації від 26.03.2020 № 246; </w:t>
      </w:r>
      <w:r w:rsidR="00154B6E" w:rsidRPr="00B320B2">
        <w:rPr>
          <w:rFonts w:ascii="Times New Roman" w:hAnsi="Times New Roman"/>
          <w:sz w:val="28"/>
          <w:szCs w:val="28"/>
          <w:lang w:val="uk-UA" w:eastAsia="uk-UA"/>
        </w:rPr>
        <w:t>Плану заходів на 2021-2023 роки з реалізації Стратегії розвитку Луганської області на 2021-2027 роки, затвердженого розпорядженням голови обласної державної адміністрації – керівника обласної військово-цивільної адміністрації від 01.04.2020 № 262.</w:t>
      </w:r>
    </w:p>
    <w:p w14:paraId="13104F38" w14:textId="77777777" w:rsidR="00154B6E" w:rsidRPr="00154B6E" w:rsidRDefault="00154B6E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54B6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Метою Програми є забезпечення розвитку реального сектору економіки і на цій основі поліпшення якості життя населення, максимально можливого зменшення негативних соціально-економічних наслідків, які виникли в області.</w:t>
      </w:r>
    </w:p>
    <w:p w14:paraId="73BBC92B" w14:textId="77777777" w:rsidR="00154B6E" w:rsidRPr="00154B6E" w:rsidRDefault="00154B6E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54B6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Ця мета досягається через реалізацію чотирьох стратегічних цілей:</w:t>
      </w:r>
    </w:p>
    <w:p w14:paraId="06216ECF" w14:textId="77777777" w:rsidR="00154B6E" w:rsidRPr="00154B6E" w:rsidRDefault="00154B6E" w:rsidP="00F7442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54B6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1.</w:t>
      </w:r>
      <w:r w:rsidRPr="00154B6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ab/>
        <w:t>Економічне зростання регіону: конкурентоспроможність, смарт-спеціалізація, сприятливе бізнес-середовище.</w:t>
      </w:r>
    </w:p>
    <w:p w14:paraId="4BA4BC29" w14:textId="77777777" w:rsidR="00154B6E" w:rsidRPr="00154B6E" w:rsidRDefault="00154B6E" w:rsidP="00F7442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54B6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lastRenderedPageBreak/>
        <w:t>2.</w:t>
      </w:r>
      <w:r w:rsidRPr="00154B6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ab/>
        <w:t>Відновлення критичної інфраструктури регіону.</w:t>
      </w:r>
    </w:p>
    <w:p w14:paraId="09D35D3F" w14:textId="77777777" w:rsidR="00154B6E" w:rsidRPr="00154B6E" w:rsidRDefault="00154B6E" w:rsidP="00F7442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54B6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3.</w:t>
      </w:r>
      <w:r w:rsidRPr="00154B6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ab/>
        <w:t>Ефективне управління, орієнтоване на людину.</w:t>
      </w:r>
    </w:p>
    <w:p w14:paraId="0CACE007" w14:textId="77777777" w:rsidR="00154B6E" w:rsidRDefault="00154B6E" w:rsidP="00F7442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54B6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4.</w:t>
      </w:r>
      <w:r w:rsidRPr="00154B6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ab/>
        <w:t>Безпека, національна ідентичність та цілісний інформаційний простір.</w:t>
      </w:r>
    </w:p>
    <w:p w14:paraId="5F1B317A" w14:textId="77777777" w:rsidR="00154B6E" w:rsidRDefault="00154B6E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14:paraId="3145F35B" w14:textId="77777777" w:rsidR="0074791B" w:rsidRDefault="0074791B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917BC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Виконання Програми здійсню</w:t>
      </w:r>
      <w:r w:rsidR="00154B6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є</w:t>
      </w:r>
      <w:r w:rsidRPr="00917BC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ться в межах реальних фінансових можливостей бюджетів всіх рівнів та за рахунок позабюджетних коштів.</w:t>
      </w:r>
    </w:p>
    <w:p w14:paraId="6395C253" w14:textId="77777777" w:rsidR="00154B6E" w:rsidRPr="00917BC2" w:rsidRDefault="00154B6E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14:paraId="034CC2F2" w14:textId="77777777" w:rsidR="0074791B" w:rsidRPr="00917BC2" w:rsidRDefault="0074791B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Зміни, що внос</w:t>
      </w:r>
      <w:r w:rsidR="00154B6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яться до Програми, передбачають</w:t>
      </w:r>
      <w:r w:rsidR="00154B6E" w:rsidRPr="00154B6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="00154B6E"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внесення додатков</w:t>
      </w:r>
      <w:r w:rsidR="00154B6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ого заходу</w:t>
      </w:r>
      <w:r w:rsidR="00154B6E"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="00F7442A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у додаток 4 до Програми «</w:t>
      </w:r>
      <w:r w:rsidR="00F7442A" w:rsidRPr="00F7442A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Перелік заходів, які фінансуються у 2021-2023 роках за рахунок обласного бюджету</w:t>
      </w:r>
      <w:r w:rsidR="00F7442A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»</w:t>
      </w:r>
      <w:r w:rsidR="00B84DE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.</w:t>
      </w:r>
    </w:p>
    <w:p w14:paraId="32DF7AC2" w14:textId="77777777" w:rsidR="00B84DE7" w:rsidRDefault="00B84DE7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val="uk-UA" w:eastAsia="ru-RU"/>
        </w:rPr>
      </w:pPr>
    </w:p>
    <w:p w14:paraId="42752AD6" w14:textId="77777777" w:rsidR="0074791B" w:rsidRPr="00917BC2" w:rsidRDefault="00083F79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val="uk-UA" w:eastAsia="ru-RU"/>
        </w:rPr>
        <w:t>Я</w:t>
      </w:r>
      <w:r w:rsidR="0074791B" w:rsidRPr="00917BC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val="uk-UA" w:eastAsia="ru-RU"/>
        </w:rPr>
        <w:t>кою мірою документ державного планування визнача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val="uk-UA" w:eastAsia="ru-RU"/>
        </w:rPr>
        <w:t>є</w:t>
      </w:r>
      <w:r w:rsidR="0074791B" w:rsidRPr="00917BC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val="uk-UA" w:eastAsia="ru-RU"/>
        </w:rPr>
        <w:t xml:space="preserve"> умови для реалізації видів діяльності або об’єктів, щодо яких законодавством передбачено здійснення процедури оцінки впливу на довкілля (у тому числі щодо визначення місцезнаходження, розміру, потужності або розміщення ресурсів):</w:t>
      </w:r>
    </w:p>
    <w:p w14:paraId="23F933BA" w14:textId="77777777" w:rsidR="00083F79" w:rsidRDefault="00083F79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Відповідно до частини першої статті 3 Закону України «Про оцінку впливу на довкілля» здійснення оцінки впливу на довкілля є обов’язковим у процесі прийняття рішень про провадження планованої діяльності, визначеної частинами другою і третьою цієї статті.</w:t>
      </w:r>
    </w:p>
    <w:p w14:paraId="2A423433" w14:textId="77777777" w:rsidR="00B84DE7" w:rsidRPr="00917BC2" w:rsidRDefault="0074791B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Запропоновані зміни до Програми охоплюють </w:t>
      </w:r>
      <w:r w:rsidR="00B84DE7" w:rsidRPr="00B84DE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забезпечення гідної презентації та промоції Луганської області на ділових</w:t>
      </w:r>
      <w:r w:rsidR="00B84DE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="00B84DE7" w:rsidRPr="00B84DE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зустрічах, переговорах, які проводяться за участю керівництва</w:t>
      </w:r>
      <w:r w:rsidR="00B84DE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="00B84DE7" w:rsidRPr="00B84DE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облдержадміністрації для налагодження ділових стосунків з потенційними</w:t>
      </w:r>
      <w:r w:rsidR="00B84DE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="00B84DE7" w:rsidRPr="00B84DE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інвесторами, поглиблення співпраці, партнерства між регіонами на постійній</w:t>
      </w:r>
      <w:r w:rsidR="00B84DE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="00B84DE7" w:rsidRPr="00B84DE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основі, участі у конференціях, форумах, виставках, що сприятиме залученню</w:t>
      </w:r>
      <w:r w:rsidR="00B84DE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="00B84DE7" w:rsidRPr="00B84DE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іноземних інвесторів, громадських організацій, бізнес спільноти для</w:t>
      </w:r>
      <w:r w:rsidR="00B84DE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="00B84DE7" w:rsidRPr="00B84DE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відновлення та р</w:t>
      </w:r>
      <w:r w:rsidR="00B84DE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еконструкції Луганської області.</w:t>
      </w:r>
    </w:p>
    <w:p w14:paraId="48D942E5" w14:textId="77777777" w:rsidR="0074791B" w:rsidRDefault="0074791B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Даний документ державного планування (зміни до Програми) не передбачає реалізацію видів діяльності або об’єктів, щодо яких законодавством передбачено здійснення процедури оцінки впливу на довкілля.</w:t>
      </w:r>
    </w:p>
    <w:p w14:paraId="51E83823" w14:textId="77777777" w:rsidR="00083F79" w:rsidRDefault="00083F79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val="uk-UA" w:eastAsia="ru-RU"/>
        </w:rPr>
      </w:pPr>
    </w:p>
    <w:p w14:paraId="54BE7499" w14:textId="77777777" w:rsidR="0074791B" w:rsidRPr="00917BC2" w:rsidRDefault="00691E9A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691E9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val="uk-UA" w:eastAsia="ru-RU"/>
        </w:rPr>
        <w:t xml:space="preserve">Інформація про ймовірні </w:t>
      </w:r>
      <w:r w:rsidR="0074791B" w:rsidRPr="00917BC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val="uk-UA" w:eastAsia="ru-RU"/>
        </w:rPr>
        <w:t>наслідки:</w:t>
      </w:r>
    </w:p>
    <w:p w14:paraId="298C0247" w14:textId="77777777" w:rsidR="0074791B" w:rsidRPr="00917BC2" w:rsidRDefault="0074791B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917BC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val="uk-UA" w:eastAsia="ru-RU"/>
        </w:rPr>
        <w:t>для довкілля, у то</w:t>
      </w:r>
      <w:r w:rsidR="002C53E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val="uk-UA" w:eastAsia="ru-RU"/>
        </w:rPr>
        <w:t>му числі для здоров’я населення</w:t>
      </w:r>
    </w:p>
    <w:p w14:paraId="7B401875" w14:textId="77777777" w:rsidR="0074791B" w:rsidRPr="00917BC2" w:rsidRDefault="0074791B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Виконання стратегічної екологічної оцінки передбачає аналіз та оцінку ймовірних наслідків та ризиків реалізації заходів, прийнятих у Програмі, як на окремі компоненти довкілля (ґрунти, поверхневі та підземні водні ресурси, атмосферне повітря, рослинний та тваринний світ), соціально-економічні умови розвитку території, а також на здоров’я населення.</w:t>
      </w:r>
    </w:p>
    <w:p w14:paraId="64F74952" w14:textId="77777777" w:rsidR="0074791B" w:rsidRPr="00917BC2" w:rsidRDefault="0074791B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Реалізація запропонованих змін до Програми не несе ймовірних наслідків для таких складових навколишнього природного середовища як атмосферне повітря, водні ресурси, ґрунт, ландшафт, біорізноманіття та рекреаційні зони.</w:t>
      </w:r>
    </w:p>
    <w:p w14:paraId="7DC4C2B3" w14:textId="77777777" w:rsidR="0074791B" w:rsidRPr="00917BC2" w:rsidRDefault="0074791B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917BC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val="uk-UA" w:eastAsia="ru-RU"/>
        </w:rPr>
        <w:t>для територій з природоохоронним статусом:</w:t>
      </w:r>
    </w:p>
    <w:p w14:paraId="006E4D29" w14:textId="77777777" w:rsidR="0074791B" w:rsidRPr="00917BC2" w:rsidRDefault="0074791B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lastRenderedPageBreak/>
        <w:t>Ймовірні наслідки від об’єктів інфраструктури, що пропонуються відповідно до змін до Програми, на території з природоохоронним статусом (об’єктів природно-заповідного фонду, екологічної мережі, Смарагдової мережі) відсутні.</w:t>
      </w:r>
    </w:p>
    <w:p w14:paraId="2292C263" w14:textId="77777777" w:rsidR="0074791B" w:rsidRPr="00917BC2" w:rsidRDefault="0074791B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917BC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val="uk-UA" w:eastAsia="ru-RU"/>
        </w:rPr>
        <w:t>транскордонні наслідки для довкілля, у тому числі для здоров’я населення</w:t>
      </w:r>
    </w:p>
    <w:p w14:paraId="7338150C" w14:textId="77777777" w:rsidR="002C53EF" w:rsidRDefault="0074791B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Зважаючи на географічне положення територій, </w:t>
      </w:r>
      <w:r w:rsidR="005266CA"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на яких запланована, реалізації </w:t>
      </w:r>
      <w:r w:rsidR="005266CA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завдань</w:t>
      </w:r>
      <w:r w:rsidR="005266CA"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Програми</w:t>
      </w:r>
      <w:r w:rsidR="005266CA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та змін до неї, </w:t>
      </w:r>
      <w:r w:rsidR="005266CA"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транскордонні наслідки для довкілля, у тому числі здоров’я населення, не очікуються</w:t>
      </w:r>
      <w:r w:rsidR="005266CA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.</w:t>
      </w:r>
    </w:p>
    <w:p w14:paraId="498C64D5" w14:textId="77777777" w:rsidR="005266CA" w:rsidRPr="00917BC2" w:rsidRDefault="005266CA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14:paraId="2A051E2A" w14:textId="77777777" w:rsidR="0074791B" w:rsidRPr="00917BC2" w:rsidRDefault="0074791B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917BC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val="uk-UA" w:eastAsia="ru-RU"/>
        </w:rPr>
        <w:t>Виправдані альтернативи, які необхідно розглянути, у тому числі якщо зміни до документа державного планування не буде затверджено</w:t>
      </w:r>
    </w:p>
    <w:p w14:paraId="2163027B" w14:textId="77777777" w:rsidR="0074791B" w:rsidRPr="00917BC2" w:rsidRDefault="0074791B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Зважаючи на комплексність рішень змін до Програми, що обумовлюється необхідністю виконання стратегічних цілей Програми, призначених для різних видів соціальної, рекреаційної та комунікаційної діяльності, здійснюється розгляд виправданих альтернатив планованих рішень.</w:t>
      </w:r>
    </w:p>
    <w:p w14:paraId="6E62FEA0" w14:textId="77777777" w:rsidR="0074791B" w:rsidRPr="00917BC2" w:rsidRDefault="0074791B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Загальною альтернативою є гіпотетичний (нульовий) сценарій, при якому дані зміни до Програми не затверджуються.</w:t>
      </w:r>
    </w:p>
    <w:p w14:paraId="66CF2713" w14:textId="77777777" w:rsidR="002C53EF" w:rsidRDefault="002C53EF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val="uk-UA" w:eastAsia="ru-RU"/>
        </w:rPr>
      </w:pPr>
    </w:p>
    <w:p w14:paraId="341AF3EC" w14:textId="77777777" w:rsidR="0074791B" w:rsidRPr="00917BC2" w:rsidRDefault="0074791B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917BC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val="uk-UA" w:eastAsia="ru-RU"/>
        </w:rPr>
        <w:t>Дослідження, які необхідно провести, методи і критерії, що використовуватимуться під час стратегічної екологічної оцінки</w:t>
      </w:r>
    </w:p>
    <w:p w14:paraId="090C6D6B" w14:textId="77777777" w:rsidR="0074791B" w:rsidRPr="00917BC2" w:rsidRDefault="0074791B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Предметом стратегічної екологічної оцінки є зміни до Програми та їх потенційний вплив на стан довкілля та здоров’я населення.</w:t>
      </w:r>
    </w:p>
    <w:p w14:paraId="3CCE5CB1" w14:textId="77777777" w:rsidR="0074791B" w:rsidRDefault="0074791B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Запропоновані зміни до Програми є незначними і не несуть ймовірних наслідків для стану довкілля та здоров’я населення.</w:t>
      </w:r>
    </w:p>
    <w:p w14:paraId="53C6BC54" w14:textId="77777777" w:rsidR="002C53EF" w:rsidRPr="00917BC2" w:rsidRDefault="002C53EF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14:paraId="0A33CE0B" w14:textId="77777777" w:rsidR="0074791B" w:rsidRPr="00917BC2" w:rsidRDefault="0074791B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917BC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val="uk-UA" w:eastAsia="ru-RU"/>
        </w:rPr>
        <w:t>Заходи, які передбачається розглянути для запобігання, зменшення та пом'якшення негативних наслідків виконання документа державного планування </w:t>
      </w:r>
    </w:p>
    <w:p w14:paraId="00742237" w14:textId="77777777" w:rsidR="0074791B" w:rsidRPr="00083F79" w:rsidRDefault="0074791B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083F79">
        <w:rPr>
          <w:rFonts w:ascii="Times New Roman" w:eastAsia="Times New Roman" w:hAnsi="Times New Roman" w:cs="Times New Roman"/>
          <w:iCs/>
          <w:color w:val="1D1D1B"/>
          <w:sz w:val="28"/>
          <w:szCs w:val="28"/>
          <w:bdr w:val="none" w:sz="0" w:space="0" w:color="auto" w:frame="1"/>
          <w:lang w:val="uk-UA" w:eastAsia="ru-RU"/>
        </w:rPr>
        <w:t xml:space="preserve">Необхідність перегляду або внесення змін до затверджених заходів і </w:t>
      </w:r>
      <w:r w:rsidR="00083F79">
        <w:rPr>
          <w:rFonts w:ascii="Times New Roman" w:eastAsia="Times New Roman" w:hAnsi="Times New Roman" w:cs="Times New Roman"/>
          <w:iCs/>
          <w:color w:val="1D1D1B"/>
          <w:sz w:val="28"/>
          <w:szCs w:val="28"/>
          <w:bdr w:val="none" w:sz="0" w:space="0" w:color="auto" w:frame="1"/>
          <w:lang w:val="uk-UA" w:eastAsia="ru-RU"/>
        </w:rPr>
        <w:t>проектів: н</w:t>
      </w:r>
      <w:r w:rsidRPr="00083F7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е передбачається.</w:t>
      </w:r>
    </w:p>
    <w:p w14:paraId="02513D86" w14:textId="77777777" w:rsidR="0074791B" w:rsidRPr="00083F79" w:rsidRDefault="0074791B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083F79">
        <w:rPr>
          <w:rFonts w:ascii="Times New Roman" w:eastAsia="Times New Roman" w:hAnsi="Times New Roman" w:cs="Times New Roman"/>
          <w:iCs/>
          <w:color w:val="1D1D1B"/>
          <w:sz w:val="28"/>
          <w:szCs w:val="28"/>
          <w:bdr w:val="none" w:sz="0" w:space="0" w:color="auto" w:frame="1"/>
          <w:lang w:val="uk-UA" w:eastAsia="ru-RU"/>
        </w:rPr>
        <w:t xml:space="preserve">Необхідність перегляду або внесення змін до заходів і </w:t>
      </w:r>
      <w:proofErr w:type="spellStart"/>
      <w:r w:rsidRPr="00083F79">
        <w:rPr>
          <w:rFonts w:ascii="Times New Roman" w:eastAsia="Times New Roman" w:hAnsi="Times New Roman" w:cs="Times New Roman"/>
          <w:iCs/>
          <w:color w:val="1D1D1B"/>
          <w:sz w:val="28"/>
          <w:szCs w:val="28"/>
          <w:bdr w:val="none" w:sz="0" w:space="0" w:color="auto" w:frame="1"/>
          <w:lang w:val="uk-UA" w:eastAsia="ru-RU"/>
        </w:rPr>
        <w:t>проєктів</w:t>
      </w:r>
      <w:proofErr w:type="spellEnd"/>
      <w:r w:rsidRPr="00083F79">
        <w:rPr>
          <w:rFonts w:ascii="Times New Roman" w:eastAsia="Times New Roman" w:hAnsi="Times New Roman" w:cs="Times New Roman"/>
          <w:iCs/>
          <w:color w:val="1D1D1B"/>
          <w:sz w:val="28"/>
          <w:szCs w:val="28"/>
          <w:bdr w:val="none" w:sz="0" w:space="0" w:color="auto" w:frame="1"/>
          <w:lang w:val="uk-UA" w:eastAsia="ru-RU"/>
        </w:rPr>
        <w:t>, передбачених для здійснення моніторингу наслідків виконання документа державного планування для довкілля, у тому числі для здоров’я населення</w:t>
      </w:r>
      <w:r w:rsidR="00083F79">
        <w:rPr>
          <w:rFonts w:ascii="Times New Roman" w:eastAsia="Times New Roman" w:hAnsi="Times New Roman" w:cs="Times New Roman"/>
          <w:iCs/>
          <w:color w:val="1D1D1B"/>
          <w:sz w:val="28"/>
          <w:szCs w:val="28"/>
          <w:bdr w:val="none" w:sz="0" w:space="0" w:color="auto" w:frame="1"/>
          <w:lang w:val="uk-UA" w:eastAsia="ru-RU"/>
        </w:rPr>
        <w:t>: н</w:t>
      </w:r>
      <w:r w:rsidRPr="00083F7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е передбачається</w:t>
      </w:r>
      <w:r w:rsidR="002C53EF" w:rsidRPr="00083F7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.</w:t>
      </w:r>
    </w:p>
    <w:p w14:paraId="01B1F13C" w14:textId="77777777" w:rsidR="002C53EF" w:rsidRPr="00917BC2" w:rsidRDefault="002C53EF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14:paraId="22804893" w14:textId="77777777" w:rsidR="0074791B" w:rsidRPr="00917BC2" w:rsidRDefault="0074791B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917BC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val="uk-UA" w:eastAsia="ru-RU"/>
        </w:rPr>
        <w:t>Пропозиції щодо структури та змісту звіту про стратегічну екологічну оцінку</w:t>
      </w:r>
    </w:p>
    <w:p w14:paraId="2E6CFC54" w14:textId="77777777" w:rsidR="0074791B" w:rsidRPr="00917BC2" w:rsidRDefault="0074791B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Структура звіту про стратегічну екологічну оцінку має враховувати вимоги статті 11 Закону України «Про стратегічну екологічну оцінку».</w:t>
      </w:r>
    </w:p>
    <w:p w14:paraId="2618E37B" w14:textId="77777777" w:rsidR="0074791B" w:rsidRPr="00917BC2" w:rsidRDefault="002959EA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2959EA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Враховуючи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те</w:t>
      </w:r>
      <w:r w:rsidR="0074791B"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що запропоновані зміни до Програми </w:t>
      </w:r>
      <w:r w:rsidRPr="002959EA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є незначними та те, що до Програми раніше здійснювалася стратегічна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Pr="002959EA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екологічна оцінка, пропонується не здійснювати стратегічну екологічну оцінку цих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Pr="002959EA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змін</w:t>
      </w:r>
      <w:r w:rsidR="0074791B"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.</w:t>
      </w:r>
    </w:p>
    <w:p w14:paraId="23DBABAB" w14:textId="77777777" w:rsidR="0074791B" w:rsidRPr="00917BC2" w:rsidRDefault="0074791B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917BC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val="uk-UA" w:eastAsia="ru-RU"/>
        </w:rPr>
        <w:t>Орган, до якого подаються зауваження і пропозиції, строки їх подання</w:t>
      </w:r>
    </w:p>
    <w:p w14:paraId="3D558BA0" w14:textId="1D1DD728" w:rsidR="002C53EF" w:rsidRDefault="0074791B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917BC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lastRenderedPageBreak/>
        <w:t xml:space="preserve">Зауваження і пропозиції до Заяви про визначення обсягу стратегічної екологічної оцінки до змін до Програми економічного і соціального розвитку </w:t>
      </w:r>
      <w:r w:rsidR="002C53EF" w:rsidRPr="002C53EF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Луганської області на 202</w:t>
      </w:r>
      <w:r w:rsidR="002C313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1</w:t>
      </w:r>
      <w:r w:rsidR="002C53EF" w:rsidRPr="002C53EF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-202</w:t>
      </w:r>
      <w:r w:rsidR="002C313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3</w:t>
      </w:r>
      <w:r w:rsidR="002C53EF" w:rsidRPr="002C53EF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роки подаються до Департамент економічного розвитку та зовнішньоекономічної діяльності Луганської обласної державної адміністрації: е-</w:t>
      </w:r>
      <w:proofErr w:type="spellStart"/>
      <w:r w:rsidR="002C53EF" w:rsidRPr="002C53EF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mail</w:t>
      </w:r>
      <w:proofErr w:type="spellEnd"/>
      <w:r w:rsidR="002C53EF" w:rsidRPr="002C53EF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: </w:t>
      </w:r>
      <w:hyperlink r:id="rId7" w:history="1">
        <w:r w:rsidR="002C53EF" w:rsidRPr="005E78DE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economy@loga.gov.ua</w:t>
        </w:r>
      </w:hyperlink>
      <w:r w:rsidR="002C53EF" w:rsidRPr="002C53EF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.</w:t>
      </w:r>
      <w:bookmarkStart w:id="0" w:name="_GoBack"/>
      <w:bookmarkEnd w:id="0"/>
    </w:p>
    <w:p w14:paraId="15DA3E10" w14:textId="77777777" w:rsidR="005E2414" w:rsidRDefault="005E2414" w:rsidP="00F7442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08BA37B" w14:textId="77777777" w:rsidR="002C53EF" w:rsidRPr="005E2414" w:rsidRDefault="007A1C6C" w:rsidP="00F7442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A1C6C">
        <w:rPr>
          <w:sz w:val="28"/>
          <w:szCs w:val="28"/>
          <w:lang w:val="uk-UA"/>
        </w:rPr>
        <w:t>Уповноважена особа замовника</w:t>
      </w:r>
      <w:r w:rsidR="002C53EF" w:rsidRPr="005E2414">
        <w:rPr>
          <w:sz w:val="28"/>
          <w:szCs w:val="28"/>
          <w:lang w:val="uk-UA"/>
        </w:rPr>
        <w:t>: Ганна Долинська</w:t>
      </w:r>
    </w:p>
    <w:p w14:paraId="380BA450" w14:textId="77777777" w:rsidR="005E2414" w:rsidRPr="005E2414" w:rsidRDefault="005E2414" w:rsidP="00F7442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31AB6A01" w14:textId="77777777" w:rsidR="002C53EF" w:rsidRPr="005E2414" w:rsidRDefault="002C53EF" w:rsidP="00F7442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2414">
        <w:rPr>
          <w:sz w:val="28"/>
          <w:szCs w:val="28"/>
          <w:lang w:val="uk-UA"/>
        </w:rPr>
        <w:t>Контактний телефон: 0953546627</w:t>
      </w:r>
    </w:p>
    <w:p w14:paraId="180E7325" w14:textId="77777777" w:rsidR="002C53EF" w:rsidRDefault="002C53EF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14:paraId="7D64108E" w14:textId="77777777" w:rsidR="005E2414" w:rsidRPr="005E2414" w:rsidRDefault="005E2414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5E2414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Строк подання зауважень і пропозицій становить 10 днів з дня оприлюднення Заяви про визначення обсягу стратегічної екологічної оцінки до </w:t>
      </w:r>
      <w:proofErr w:type="spellStart"/>
      <w:r w:rsidRPr="005E2414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проєкту</w:t>
      </w:r>
      <w:proofErr w:type="spellEnd"/>
      <w:r w:rsidRPr="005E2414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Програми (відповідно до частин 5, 6 ст. 10 Закону України «Про стратегічну екологічну оцінку»).</w:t>
      </w:r>
    </w:p>
    <w:p w14:paraId="02DC07AF" w14:textId="77777777" w:rsidR="00F7442A" w:rsidRDefault="00F7442A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14:paraId="4E1F6DDC" w14:textId="77777777" w:rsidR="0074791B" w:rsidRDefault="005E2414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5E2414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Пропозиції і зауваження, що подані після встановленого терміну, не розглядаються.</w:t>
      </w:r>
    </w:p>
    <w:p w14:paraId="26C66DFD" w14:textId="77777777" w:rsidR="00F7442A" w:rsidRDefault="00F7442A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14:paraId="25763DF5" w14:textId="77777777" w:rsidR="00F7442A" w:rsidRPr="00917BC2" w:rsidRDefault="00F7442A" w:rsidP="00F744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14:paraId="44339893" w14:textId="77777777" w:rsidR="005E2414" w:rsidRPr="005E2414" w:rsidRDefault="005E2414" w:rsidP="00F74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414">
        <w:rPr>
          <w:rFonts w:ascii="Times New Roman" w:hAnsi="Times New Roman" w:cs="Times New Roman"/>
          <w:sz w:val="28"/>
          <w:szCs w:val="28"/>
          <w:lang w:val="uk-UA"/>
        </w:rPr>
        <w:t>В. о. директора Департаменту</w:t>
      </w:r>
    </w:p>
    <w:p w14:paraId="0A711E91" w14:textId="77777777" w:rsidR="005E2414" w:rsidRPr="005E2414" w:rsidRDefault="005E2414" w:rsidP="00F74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414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розвитку та </w:t>
      </w:r>
    </w:p>
    <w:p w14:paraId="30AE4804" w14:textId="77777777" w:rsidR="009A7A91" w:rsidRPr="00917BC2" w:rsidRDefault="005E2414" w:rsidP="00F74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414">
        <w:rPr>
          <w:rFonts w:ascii="Times New Roman" w:hAnsi="Times New Roman" w:cs="Times New Roman"/>
          <w:sz w:val="28"/>
          <w:szCs w:val="28"/>
          <w:lang w:val="uk-UA"/>
        </w:rPr>
        <w:t>зовнішньоекономічної діяльності</w:t>
      </w:r>
      <w:r w:rsidRPr="005E24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24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24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24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2414">
        <w:rPr>
          <w:rFonts w:ascii="Times New Roman" w:hAnsi="Times New Roman" w:cs="Times New Roman"/>
          <w:b/>
          <w:sz w:val="28"/>
          <w:szCs w:val="28"/>
          <w:lang w:val="uk-UA"/>
        </w:rPr>
        <w:t>Людмила АХТИРСЬКА</w:t>
      </w:r>
    </w:p>
    <w:sectPr w:rsidR="009A7A91" w:rsidRPr="00917BC2" w:rsidSect="00F7442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483A2" w14:textId="77777777" w:rsidR="0035478B" w:rsidRDefault="0035478B" w:rsidP="00F7442A">
      <w:pPr>
        <w:spacing w:after="0" w:line="240" w:lineRule="auto"/>
      </w:pPr>
      <w:r>
        <w:separator/>
      </w:r>
    </w:p>
  </w:endnote>
  <w:endnote w:type="continuationSeparator" w:id="0">
    <w:p w14:paraId="0EC64934" w14:textId="77777777" w:rsidR="0035478B" w:rsidRDefault="0035478B" w:rsidP="00F7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7E7AA" w14:textId="77777777" w:rsidR="0035478B" w:rsidRDefault="0035478B" w:rsidP="00F7442A">
      <w:pPr>
        <w:spacing w:after="0" w:line="240" w:lineRule="auto"/>
      </w:pPr>
      <w:r>
        <w:separator/>
      </w:r>
    </w:p>
  </w:footnote>
  <w:footnote w:type="continuationSeparator" w:id="0">
    <w:p w14:paraId="6CE8BA98" w14:textId="77777777" w:rsidR="0035478B" w:rsidRDefault="0035478B" w:rsidP="00F7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570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0FEE85" w14:textId="77777777" w:rsidR="00F7442A" w:rsidRPr="00F7442A" w:rsidRDefault="00F7442A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44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744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744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1C6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744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43E347E" w14:textId="77777777" w:rsidR="00F7442A" w:rsidRDefault="00F7442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2BBB"/>
    <w:multiLevelType w:val="multilevel"/>
    <w:tmpl w:val="C5E2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476D27"/>
    <w:multiLevelType w:val="multilevel"/>
    <w:tmpl w:val="6708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91B"/>
    <w:rsid w:val="00083F79"/>
    <w:rsid w:val="00154B6E"/>
    <w:rsid w:val="001D744E"/>
    <w:rsid w:val="002959EA"/>
    <w:rsid w:val="002C3137"/>
    <w:rsid w:val="002C53EF"/>
    <w:rsid w:val="00342433"/>
    <w:rsid w:val="0035478B"/>
    <w:rsid w:val="005266CA"/>
    <w:rsid w:val="005E2414"/>
    <w:rsid w:val="00691E9A"/>
    <w:rsid w:val="0074791B"/>
    <w:rsid w:val="007A1C6C"/>
    <w:rsid w:val="007D644A"/>
    <w:rsid w:val="00917BC2"/>
    <w:rsid w:val="00937A58"/>
    <w:rsid w:val="009A7A91"/>
    <w:rsid w:val="00B84DE7"/>
    <w:rsid w:val="00CA7D33"/>
    <w:rsid w:val="00D04BEE"/>
    <w:rsid w:val="00ED01B4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9EC2"/>
  <w15:docId w15:val="{F7B9D8B3-3229-48D0-A047-BC86721F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479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791B"/>
    <w:rPr>
      <w:b/>
      <w:bCs/>
    </w:rPr>
  </w:style>
  <w:style w:type="character" w:styleId="a6">
    <w:name w:val="Emphasis"/>
    <w:basedOn w:val="a0"/>
    <w:uiPriority w:val="20"/>
    <w:qFormat/>
    <w:rsid w:val="0074791B"/>
    <w:rPr>
      <w:i/>
      <w:iCs/>
    </w:rPr>
  </w:style>
  <w:style w:type="character" w:customStyle="1" w:styleId="link-addition-info">
    <w:name w:val="link-addition-info"/>
    <w:basedOn w:val="a0"/>
    <w:rsid w:val="0074791B"/>
  </w:style>
  <w:style w:type="table" w:styleId="a7">
    <w:name w:val="Table Grid"/>
    <w:basedOn w:val="a1"/>
    <w:uiPriority w:val="59"/>
    <w:rsid w:val="00B8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74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42A"/>
  </w:style>
  <w:style w:type="paragraph" w:styleId="aa">
    <w:name w:val="footer"/>
    <w:basedOn w:val="a"/>
    <w:link w:val="ab"/>
    <w:uiPriority w:val="99"/>
    <w:unhideWhenUsed/>
    <w:rsid w:val="00F74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568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6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52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4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2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y@log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Ольга</cp:lastModifiedBy>
  <cp:revision>11</cp:revision>
  <cp:lastPrinted>2023-07-11T11:59:00Z</cp:lastPrinted>
  <dcterms:created xsi:type="dcterms:W3CDTF">2023-07-11T06:52:00Z</dcterms:created>
  <dcterms:modified xsi:type="dcterms:W3CDTF">2023-07-13T14:03:00Z</dcterms:modified>
</cp:coreProperties>
</file>